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295B83F" w:rsidR="007F09CB" w:rsidRPr="0053072A" w:rsidRDefault="0053072A">
      <w:pPr>
        <w:rPr>
          <w:lang w:val="lv-LV"/>
        </w:rPr>
        <w:sectPr w:rsidR="007F09CB" w:rsidRPr="0053072A">
          <w:headerReference w:type="default" r:id="rId8"/>
          <w:footerReference w:type="default" r:id="rId9"/>
          <w:pgSz w:w="11907" w:h="16839"/>
          <w:pgMar w:top="1440" w:right="1022" w:bottom="1152" w:left="1440" w:header="706" w:footer="283" w:gutter="0"/>
          <w:pgNumType w:start="1"/>
          <w:cols w:space="720"/>
        </w:sectPr>
      </w:pPr>
      <w:r w:rsidRPr="0053072A">
        <w:rPr>
          <w:noProof/>
          <w:lang w:val="lv-LV"/>
        </w:rPr>
        <mc:AlternateContent>
          <mc:Choice Requires="wps">
            <w:drawing>
              <wp:anchor distT="0" distB="0" distL="0" distR="0" simplePos="0" relativeHeight="251662336" behindDoc="1" locked="0" layoutInCell="1" hidden="0" allowOverlap="1" wp14:anchorId="4C6848CE" wp14:editId="6AE3C9A8">
                <wp:simplePos x="0" y="0"/>
                <wp:positionH relativeFrom="column">
                  <wp:posOffset>-406400</wp:posOffset>
                </wp:positionH>
                <wp:positionV relativeFrom="paragraph">
                  <wp:posOffset>7239000</wp:posOffset>
                </wp:positionV>
                <wp:extent cx="4845050" cy="2272030"/>
                <wp:effectExtent l="0" t="0" r="0" b="0"/>
                <wp:wrapNone/>
                <wp:docPr id="115" name="Rectangle 115"/>
                <wp:cNvGraphicFramePr/>
                <a:graphic xmlns:a="http://schemas.openxmlformats.org/drawingml/2006/main">
                  <a:graphicData uri="http://schemas.microsoft.com/office/word/2010/wordprocessingShape">
                    <wps:wsp>
                      <wps:cNvSpPr/>
                      <wps:spPr>
                        <a:xfrm>
                          <a:off x="0" y="0"/>
                          <a:ext cx="4845050" cy="2272030"/>
                        </a:xfrm>
                        <a:prstGeom prst="rect">
                          <a:avLst/>
                        </a:prstGeom>
                        <a:noFill/>
                        <a:ln>
                          <a:noFill/>
                        </a:ln>
                      </wps:spPr>
                      <wps:txbx>
                        <w:txbxContent>
                          <w:p w14:paraId="0B2B5024" w14:textId="77777777" w:rsidR="007F09CB" w:rsidRPr="0053072A" w:rsidRDefault="00DB28EC">
                            <w:pPr>
                              <w:spacing w:after="0"/>
                              <w:jc w:val="left"/>
                              <w:textDirection w:val="btLr"/>
                              <w:rPr>
                                <w:lang w:val="lv-LV"/>
                              </w:rPr>
                            </w:pPr>
                            <w:r w:rsidRPr="0053072A">
                              <w:rPr>
                                <w:rFonts w:ascii="Calibri" w:hAnsi="Calibri" w:cs="Calibri"/>
                                <w:b/>
                                <w:color w:val="FFFFFF"/>
                                <w:sz w:val="24"/>
                                <w:lang w:val="lv-LV"/>
                              </w:rPr>
                              <w:t>Klienta pārstāvis:</w:t>
                            </w:r>
                          </w:p>
                          <w:p w14:paraId="17AE221D" w14:textId="77777777" w:rsidR="007F09CB" w:rsidRPr="0053072A" w:rsidRDefault="00DB28EC">
                            <w:pPr>
                              <w:spacing w:after="240"/>
                              <w:jc w:val="left"/>
                              <w:textDirection w:val="btLr"/>
                              <w:rPr>
                                <w:lang w:val="lv-LV"/>
                              </w:rPr>
                            </w:pPr>
                            <w:r w:rsidRPr="0053072A">
                              <w:rPr>
                                <w:rFonts w:ascii="Calibri" w:hAnsi="Calibri" w:cs="Calibri"/>
                                <w:color w:val="FFFFFF"/>
                                <w:sz w:val="24"/>
                                <w:lang w:val="lv-LV"/>
                              </w:rPr>
                              <w:t>Marija Zjurikova</w:t>
                            </w:r>
                            <w:r w:rsidRPr="0053072A">
                              <w:rPr>
                                <w:rFonts w:ascii="Calibri" w:hAnsi="Calibri" w:cs="Calibri"/>
                                <w:color w:val="FFFFFF"/>
                                <w:sz w:val="24"/>
                                <w:lang w:val="lv-LV"/>
                              </w:rPr>
                              <w:br/>
                              <w:t>Enerģijas departamenta direktore, LR Ekonomikas ministrija</w:t>
                            </w:r>
                            <w:r w:rsidRPr="0053072A">
                              <w:rPr>
                                <w:rFonts w:ascii="Calibri" w:hAnsi="Calibri" w:cs="Calibri"/>
                                <w:color w:val="FFFFFF"/>
                                <w:sz w:val="24"/>
                                <w:lang w:val="lv-LV"/>
                              </w:rPr>
                              <w:br/>
                              <w:t>marija.zjurikova@em.gov.lv</w:t>
                            </w:r>
                            <w:r w:rsidRPr="0053072A">
                              <w:rPr>
                                <w:rFonts w:ascii="Calibri" w:hAnsi="Calibri" w:cs="Calibri"/>
                                <w:color w:val="FFFFFF"/>
                                <w:sz w:val="24"/>
                                <w:lang w:val="lv-LV"/>
                              </w:rPr>
                              <w:br/>
                              <w:t>Tel. +371 67013242</w:t>
                            </w:r>
                          </w:p>
                          <w:p w14:paraId="0E5F6C62" w14:textId="77777777" w:rsidR="007F09CB" w:rsidRPr="0053072A" w:rsidRDefault="00DB28EC">
                            <w:pPr>
                              <w:spacing w:after="0"/>
                              <w:jc w:val="left"/>
                              <w:textDirection w:val="btLr"/>
                              <w:rPr>
                                <w:lang w:val="lv-LV"/>
                              </w:rPr>
                            </w:pPr>
                            <w:r w:rsidRPr="0053072A">
                              <w:rPr>
                                <w:rFonts w:ascii="Calibri" w:hAnsi="Calibri" w:cs="Calibri"/>
                                <w:b/>
                                <w:color w:val="FFFFFF"/>
                                <w:sz w:val="24"/>
                                <w:lang w:val="lv-LV"/>
                              </w:rPr>
                              <w:t>CIVITTA pārstāvis</w:t>
                            </w:r>
                          </w:p>
                          <w:p w14:paraId="7DCDA7C4" w14:textId="77777777" w:rsidR="007F09CB" w:rsidRPr="0053072A" w:rsidRDefault="00DB28EC">
                            <w:pPr>
                              <w:spacing w:after="240"/>
                              <w:jc w:val="left"/>
                              <w:textDirection w:val="btLr"/>
                              <w:rPr>
                                <w:lang w:val="lv-LV"/>
                              </w:rPr>
                            </w:pPr>
                            <w:r w:rsidRPr="0053072A">
                              <w:rPr>
                                <w:rFonts w:ascii="Calibri" w:hAnsi="Calibri" w:cs="Calibri"/>
                                <w:color w:val="FFFFFF"/>
                                <w:sz w:val="24"/>
                                <w:lang w:val="lv-LV"/>
                              </w:rPr>
                              <w:t>Ronalds Štrauhs</w:t>
                            </w:r>
                            <w:r w:rsidRPr="0053072A">
                              <w:rPr>
                                <w:rFonts w:ascii="Calibri" w:hAnsi="Calibri" w:cs="Calibri"/>
                                <w:color w:val="FFFFFF"/>
                                <w:sz w:val="24"/>
                                <w:lang w:val="lv-LV"/>
                              </w:rPr>
                              <w:br/>
                              <w:t>Asociētais partneris, Civitta Latvija</w:t>
                            </w:r>
                            <w:r w:rsidRPr="0053072A">
                              <w:rPr>
                                <w:rFonts w:ascii="Calibri" w:hAnsi="Calibri" w:cs="Calibri"/>
                                <w:color w:val="FFFFFF"/>
                                <w:sz w:val="24"/>
                                <w:lang w:val="lv-LV"/>
                              </w:rPr>
                              <w:br/>
                              <w:t>ronalds.strauhs@civitta.com</w:t>
                            </w:r>
                            <w:r w:rsidRPr="0053072A">
                              <w:rPr>
                                <w:rFonts w:ascii="Calibri" w:hAnsi="Calibri" w:cs="Calibri"/>
                                <w:color w:val="FFFFFF"/>
                                <w:sz w:val="24"/>
                                <w:lang w:val="lv-LV"/>
                              </w:rPr>
                              <w:br/>
                              <w:t>Tel. +371 20046506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C6848CE" id="Rectangle 115" o:spid="_x0000_s1026" style="position:absolute;left:0;text-align:left;margin-left:-32pt;margin-top:570pt;width:381.5pt;height:178.9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" filled="f" stroked="f">
                <v:textbox inset="2.53958mm,1.2694mm,2.53958mm,1.2694mm">
                  <w:txbxContent>
                    <w:p w14:paraId="0B2B5024" w14:textId="77777777" w:rsidR="007F09CB" w:rsidRPr="0053072A" w:rsidRDefault="00DB28EC">
                      <w:pPr>
                        <w:spacing w:after="0"/>
                        <w:jc w:val="left"/>
                        <w:textDirection w:val="btLr"/>
                        <w:rPr>
                          <w:lang w:val="lv-LV"/>
                        </w:rPr>
                      </w:pPr>
                      <w:r w:rsidRPr="0053072A">
                        <w:rPr>
                          <w:rFonts w:ascii="Calibri" w:hAnsi="Calibri" w:cs="Calibri"/>
                          <w:b/>
                          <w:color w:val="FFFFFF"/>
                          <w:sz w:val="24"/>
                          <w:lang w:val="lv-LV"/>
                        </w:rPr>
                        <w:t>Klienta pārstāvis:</w:t>
                      </w:r>
                    </w:p>
                    <w:p w14:paraId="17AE221D" w14:textId="77777777" w:rsidR="007F09CB" w:rsidRPr="0053072A" w:rsidRDefault="00DB28EC">
                      <w:pPr>
                        <w:spacing w:after="240"/>
                        <w:jc w:val="left"/>
                        <w:textDirection w:val="btLr"/>
                        <w:rPr>
                          <w:lang w:val="lv-LV"/>
                        </w:rPr>
                      </w:pPr>
                      <w:r w:rsidRPr="0053072A">
                        <w:rPr>
                          <w:rFonts w:ascii="Calibri" w:hAnsi="Calibri" w:cs="Calibri"/>
                          <w:color w:val="FFFFFF"/>
                          <w:sz w:val="24"/>
                          <w:lang w:val="lv-LV"/>
                        </w:rPr>
                        <w:t>Marija Zjurikova</w:t>
                      </w:r>
                      <w:r w:rsidRPr="0053072A">
                        <w:rPr>
                          <w:rFonts w:ascii="Calibri" w:hAnsi="Calibri" w:cs="Calibri"/>
                          <w:color w:val="FFFFFF"/>
                          <w:sz w:val="24"/>
                          <w:lang w:val="lv-LV"/>
                        </w:rPr>
                        <w:br/>
                        <w:t>Enerģijas departamenta direktore, LR Ekonomikas ministrija</w:t>
                      </w:r>
                      <w:r w:rsidRPr="0053072A">
                        <w:rPr>
                          <w:rFonts w:ascii="Calibri" w:hAnsi="Calibri" w:cs="Calibri"/>
                          <w:color w:val="FFFFFF"/>
                          <w:sz w:val="24"/>
                          <w:lang w:val="lv-LV"/>
                        </w:rPr>
                        <w:br/>
                        <w:t>marija.zjurikova@em.gov.lv</w:t>
                      </w:r>
                      <w:r w:rsidRPr="0053072A">
                        <w:rPr>
                          <w:rFonts w:ascii="Calibri" w:hAnsi="Calibri" w:cs="Calibri"/>
                          <w:color w:val="FFFFFF"/>
                          <w:sz w:val="24"/>
                          <w:lang w:val="lv-LV"/>
                        </w:rPr>
                        <w:br/>
                        <w:t>Tel. +371 67013242</w:t>
                      </w:r>
                    </w:p>
                    <w:p w14:paraId="0E5F6C62" w14:textId="77777777" w:rsidR="007F09CB" w:rsidRPr="0053072A" w:rsidRDefault="00DB28EC">
                      <w:pPr>
                        <w:spacing w:after="0"/>
                        <w:jc w:val="left"/>
                        <w:textDirection w:val="btLr"/>
                        <w:rPr>
                          <w:lang w:val="lv-LV"/>
                        </w:rPr>
                      </w:pPr>
                      <w:r w:rsidRPr="0053072A">
                        <w:rPr>
                          <w:rFonts w:ascii="Calibri" w:hAnsi="Calibri" w:cs="Calibri"/>
                          <w:b/>
                          <w:color w:val="FFFFFF"/>
                          <w:sz w:val="24"/>
                          <w:lang w:val="lv-LV"/>
                        </w:rPr>
                        <w:t>CIVITTA pārstāvis</w:t>
                      </w:r>
                    </w:p>
                    <w:p w14:paraId="7DCDA7C4" w14:textId="77777777" w:rsidR="007F09CB" w:rsidRPr="0053072A" w:rsidRDefault="00DB28EC">
                      <w:pPr>
                        <w:spacing w:after="240"/>
                        <w:jc w:val="left"/>
                        <w:textDirection w:val="btLr"/>
                        <w:rPr>
                          <w:lang w:val="lv-LV"/>
                        </w:rPr>
                      </w:pPr>
                      <w:r w:rsidRPr="0053072A">
                        <w:rPr>
                          <w:rFonts w:ascii="Calibri" w:hAnsi="Calibri" w:cs="Calibri"/>
                          <w:color w:val="FFFFFF"/>
                          <w:sz w:val="24"/>
                          <w:lang w:val="lv-LV"/>
                        </w:rPr>
                        <w:t>Ronalds Štrauhs</w:t>
                      </w:r>
                      <w:r w:rsidRPr="0053072A">
                        <w:rPr>
                          <w:rFonts w:ascii="Calibri" w:hAnsi="Calibri" w:cs="Calibri"/>
                          <w:color w:val="FFFFFF"/>
                          <w:sz w:val="24"/>
                          <w:lang w:val="lv-LV"/>
                        </w:rPr>
                        <w:br/>
                        <w:t>Asociētais partneris, Civitta Latvija</w:t>
                      </w:r>
                      <w:r w:rsidRPr="0053072A">
                        <w:rPr>
                          <w:rFonts w:ascii="Calibri" w:hAnsi="Calibri" w:cs="Calibri"/>
                          <w:color w:val="FFFFFF"/>
                          <w:sz w:val="24"/>
                          <w:lang w:val="lv-LV"/>
                        </w:rPr>
                        <w:br/>
                        <w:t>ronalds.strauhs@civitta.com</w:t>
                      </w:r>
                      <w:r w:rsidRPr="0053072A">
                        <w:rPr>
                          <w:rFonts w:ascii="Calibri" w:hAnsi="Calibri" w:cs="Calibri"/>
                          <w:color w:val="FFFFFF"/>
                          <w:sz w:val="24"/>
                          <w:lang w:val="lv-LV"/>
                        </w:rPr>
                        <w:br/>
                        <w:t>Tel. +371 20046506</w:t>
                      </w:r>
                    </w:p>
                  </w:txbxContent>
                </v:textbox>
              </v:rect>
            </w:pict>
          </mc:Fallback>
        </mc:AlternateContent>
      </w:r>
      <w:r w:rsidR="00DB28EC" w:rsidRPr="0053072A">
        <w:rPr>
          <w:noProof/>
          <w:lang w:val="lv-LV"/>
        </w:rPr>
        <w:drawing>
          <wp:anchor distT="0" distB="0" distL="0" distR="0" simplePos="0" relativeHeight="251658240" behindDoc="1" locked="0" layoutInCell="1" hidden="0" allowOverlap="1" wp14:anchorId="57BDEA7D" wp14:editId="2BD9AD94">
            <wp:simplePos x="0" y="0"/>
            <wp:positionH relativeFrom="margin">
              <wp:posOffset>-914395</wp:posOffset>
            </wp:positionH>
            <wp:positionV relativeFrom="margin">
              <wp:posOffset>-914395</wp:posOffset>
            </wp:positionV>
            <wp:extent cx="7559675" cy="10684510"/>
            <wp:effectExtent l="0" t="0" r="0" b="0"/>
            <wp:wrapNone/>
            <wp:docPr id="120"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0"/>
                    <a:srcRect/>
                    <a:stretch>
                      <a:fillRect/>
                    </a:stretch>
                  </pic:blipFill>
                  <pic:spPr>
                    <a:xfrm>
                      <a:off x="0" y="0"/>
                      <a:ext cx="7559675" cy="10684510"/>
                    </a:xfrm>
                    <a:prstGeom prst="rect">
                      <a:avLst/>
                    </a:prstGeom>
                    <a:ln/>
                  </pic:spPr>
                </pic:pic>
              </a:graphicData>
            </a:graphic>
          </wp:anchor>
        </w:drawing>
      </w:r>
      <w:r w:rsidR="00DB28EC" w:rsidRPr="0053072A">
        <w:rPr>
          <w:noProof/>
          <w:lang w:val="lv-LV"/>
        </w:rPr>
        <w:drawing>
          <wp:anchor distT="0" distB="0" distL="0" distR="0" simplePos="0" relativeHeight="251659264" behindDoc="1" locked="0" layoutInCell="1" hidden="0" allowOverlap="1" wp14:anchorId="58E4DD62" wp14:editId="5F0DD18A">
            <wp:simplePos x="0" y="0"/>
            <wp:positionH relativeFrom="column">
              <wp:posOffset>-542921</wp:posOffset>
            </wp:positionH>
            <wp:positionV relativeFrom="paragraph">
              <wp:posOffset>6418885</wp:posOffset>
            </wp:positionV>
            <wp:extent cx="110490" cy="173355"/>
            <wp:effectExtent l="0" t="0" r="0" b="0"/>
            <wp:wrapNone/>
            <wp:docPr id="118" name="image1.png" descr="C:\Users\Administrador\AppData\Local\Microsoft\Windows\INetCache\Content.Word\slash civitta blue.png"/>
            <wp:cNvGraphicFramePr/>
            <a:graphic xmlns:a="http://schemas.openxmlformats.org/drawingml/2006/main">
              <a:graphicData uri="http://schemas.openxmlformats.org/drawingml/2006/picture">
                <pic:pic xmlns:pic="http://schemas.openxmlformats.org/drawingml/2006/picture">
                  <pic:nvPicPr>
                    <pic:cNvPr id="0" name="image1.png" descr="C:\Users\Administrador\AppData\Local\Microsoft\Windows\INetCache\Content.Word\slash civitta blue.png"/>
                    <pic:cNvPicPr preferRelativeResize="0"/>
                  </pic:nvPicPr>
                  <pic:blipFill>
                    <a:blip r:embed="rId11"/>
                    <a:srcRect/>
                    <a:stretch>
                      <a:fillRect/>
                    </a:stretch>
                  </pic:blipFill>
                  <pic:spPr>
                    <a:xfrm>
                      <a:off x="0" y="0"/>
                      <a:ext cx="110490" cy="173355"/>
                    </a:xfrm>
                    <a:prstGeom prst="rect">
                      <a:avLst/>
                    </a:prstGeom>
                    <a:ln/>
                  </pic:spPr>
                </pic:pic>
              </a:graphicData>
            </a:graphic>
          </wp:anchor>
        </w:drawing>
      </w:r>
      <w:r w:rsidR="00DB28EC" w:rsidRPr="0053072A">
        <w:rPr>
          <w:noProof/>
          <w:lang w:val="lv-LV"/>
        </w:rPr>
        <mc:AlternateContent>
          <mc:Choice Requires="wps">
            <w:drawing>
              <wp:anchor distT="0" distB="0" distL="0" distR="0" simplePos="0" relativeHeight="251660288" behindDoc="1" locked="0" layoutInCell="1" hidden="0" allowOverlap="1" wp14:anchorId="302C8C47" wp14:editId="380E3DE9">
                <wp:simplePos x="0" y="0"/>
                <wp:positionH relativeFrom="column">
                  <wp:posOffset>-457199</wp:posOffset>
                </wp:positionH>
                <wp:positionV relativeFrom="paragraph">
                  <wp:posOffset>6210300</wp:posOffset>
                </wp:positionV>
                <wp:extent cx="6395720" cy="793750"/>
                <wp:effectExtent l="0" t="0" r="0" b="0"/>
                <wp:wrapNone/>
                <wp:docPr id="114" name="Rectangle 114"/>
                <wp:cNvGraphicFramePr/>
                <a:graphic xmlns:a="http://schemas.openxmlformats.org/drawingml/2006/main">
                  <a:graphicData uri="http://schemas.microsoft.com/office/word/2010/wordprocessingShape">
                    <wps:wsp>
                      <wps:cNvSpPr/>
                      <wps:spPr>
                        <a:xfrm>
                          <a:off x="2157665" y="3392650"/>
                          <a:ext cx="6376670" cy="774700"/>
                        </a:xfrm>
                        <a:prstGeom prst="rect">
                          <a:avLst/>
                        </a:prstGeom>
                        <a:noFill/>
                        <a:ln>
                          <a:noFill/>
                        </a:ln>
                      </wps:spPr>
                      <wps:txbx>
                        <w:txbxContent>
                          <w:p w14:paraId="43F83FC0" w14:textId="77777777" w:rsidR="007F09CB" w:rsidRPr="0053072A" w:rsidRDefault="00DB28EC">
                            <w:pPr>
                              <w:jc w:val="left"/>
                              <w:textDirection w:val="btLr"/>
                              <w:rPr>
                                <w:lang w:val="lv-LV"/>
                              </w:rPr>
                            </w:pPr>
                            <w:r w:rsidRPr="0053072A">
                              <w:rPr>
                                <w:rFonts w:ascii="Calibri" w:hAnsi="Calibri" w:cs="Calibri"/>
                                <w:b/>
                                <w:color w:val="FFFFFF"/>
                                <w:sz w:val="44"/>
                                <w:lang w:val="lv-LV"/>
                              </w:rPr>
                              <w:t>Valsts naftas produktu drošības rezervju aģentūras biznesa plāns</w:t>
                            </w:r>
                          </w:p>
                        </w:txbxContent>
                      </wps:txbx>
                      <wps:bodyPr spcFirstLastPara="1" wrap="square" lIns="91425" tIns="45700" rIns="91425" bIns="45700" anchor="t" anchorCtr="0">
                        <a:noAutofit/>
                      </wps:bodyPr>
                    </wps:wsp>
                  </a:graphicData>
                </a:graphic>
              </wp:anchor>
            </w:drawing>
          </mc:Choice>
          <mc:Fallback>
            <w:pict>
              <v:rect w14:anchorId="302C8C47" id="Rectangle 114" o:spid="_x0000_s1027" style="position:absolute;left:0;text-align:left;margin-left:-36pt;margin-top:489pt;width:503.6pt;height:62.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" filled="f" stroked="f">
                <v:textbox inset="2.53958mm,1.2694mm,2.53958mm,1.2694mm">
                  <w:txbxContent>
                    <w:p w14:paraId="43F83FC0" w14:textId="77777777" w:rsidR="007F09CB" w:rsidRPr="0053072A" w:rsidRDefault="00DB28EC">
                      <w:pPr>
                        <w:jc w:val="left"/>
                        <w:textDirection w:val="btLr"/>
                        <w:rPr>
                          <w:lang w:val="lv-LV"/>
                        </w:rPr>
                      </w:pPr>
                      <w:r w:rsidRPr="0053072A">
                        <w:rPr>
                          <w:rFonts w:ascii="Calibri" w:hAnsi="Calibri" w:cs="Calibri"/>
                          <w:b/>
                          <w:color w:val="FFFFFF"/>
                          <w:sz w:val="44"/>
                          <w:lang w:val="lv-LV"/>
                        </w:rPr>
                        <w:t>Valsts naftas produktu drošības rezervju aģentūras biznesa plāns</w:t>
                      </w:r>
                    </w:p>
                  </w:txbxContent>
                </v:textbox>
              </v:rect>
            </w:pict>
          </mc:Fallback>
        </mc:AlternateContent>
      </w:r>
      <w:r w:rsidR="00DB28EC" w:rsidRPr="0053072A">
        <w:rPr>
          <w:noProof/>
          <w:lang w:val="lv-LV"/>
        </w:rPr>
        <mc:AlternateContent>
          <mc:Choice Requires="wps">
            <w:drawing>
              <wp:anchor distT="0" distB="0" distL="0" distR="0" simplePos="0" relativeHeight="251661312" behindDoc="1" locked="0" layoutInCell="1" hidden="0" allowOverlap="1" wp14:anchorId="1569DD60" wp14:editId="63F1B38C">
                <wp:simplePos x="0" y="0"/>
                <wp:positionH relativeFrom="column">
                  <wp:posOffset>4483100</wp:posOffset>
                </wp:positionH>
                <wp:positionV relativeFrom="paragraph">
                  <wp:posOffset>9232900</wp:posOffset>
                </wp:positionV>
                <wp:extent cx="1512184" cy="336550"/>
                <wp:effectExtent l="0" t="0" r="0" b="0"/>
                <wp:wrapNone/>
                <wp:docPr id="116" name="Rectangle 116"/>
                <wp:cNvGraphicFramePr/>
                <a:graphic xmlns:a="http://schemas.openxmlformats.org/drawingml/2006/main">
                  <a:graphicData uri="http://schemas.microsoft.com/office/word/2010/wordprocessingShape">
                    <wps:wsp>
                      <wps:cNvSpPr/>
                      <wps:spPr>
                        <a:xfrm>
                          <a:off x="4599433" y="3621250"/>
                          <a:ext cx="1493134" cy="317500"/>
                        </a:xfrm>
                        <a:prstGeom prst="rect">
                          <a:avLst/>
                        </a:prstGeom>
                        <a:noFill/>
                        <a:ln>
                          <a:noFill/>
                        </a:ln>
                      </wps:spPr>
                      <wps:txbx>
                        <w:txbxContent>
                          <w:p w14:paraId="73AF7EFA" w14:textId="41221B7F" w:rsidR="007F09CB" w:rsidRDefault="00DB28EC">
                            <w:pPr>
                              <w:textDirection w:val="btLr"/>
                            </w:pPr>
                            <w:r>
                              <w:rPr>
                                <w:rFonts w:ascii="Calibri" w:hAnsi="Calibri" w:cs="Calibri"/>
                                <w:color w:val="FFFFFF"/>
                                <w:sz w:val="24"/>
                              </w:rPr>
                              <w:t xml:space="preserve">Datums: </w:t>
                            </w:r>
                            <w:r w:rsidR="0053072A">
                              <w:rPr>
                                <w:rFonts w:ascii="Calibri" w:hAnsi="Calibri" w:cs="Calibri"/>
                                <w:color w:val="FFFFFF"/>
                                <w:sz w:val="24"/>
                              </w:rPr>
                              <w:t>22</w:t>
                            </w:r>
                            <w:r>
                              <w:rPr>
                                <w:rFonts w:ascii="Calibri" w:hAnsi="Calibri" w:cs="Calibri"/>
                                <w:color w:val="FFFFFF"/>
                                <w:sz w:val="24"/>
                              </w:rPr>
                              <w:t>.03.2022.</w:t>
                            </w:r>
                          </w:p>
                        </w:txbxContent>
                      </wps:txbx>
                      <wps:bodyPr spcFirstLastPara="1" wrap="square" lIns="91425" tIns="45700" rIns="91425" bIns="45700" anchor="t" anchorCtr="0">
                        <a:noAutofit/>
                      </wps:bodyPr>
                    </wps:wsp>
                  </a:graphicData>
                </a:graphic>
              </wp:anchor>
            </w:drawing>
          </mc:Choice>
          <mc:Fallback>
            <w:pict>
              <v:rect w14:anchorId="1569DD60" id="Rectangle 116" o:spid="_x0000_s1028" style="position:absolute;left:0;text-align:left;margin-left:353pt;margin-top:727pt;width:119.05pt;height:26.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" filled="f" stroked="f">
                <v:textbox inset="2.53958mm,1.2694mm,2.53958mm,1.2694mm">
                  <w:txbxContent>
                    <w:p w14:paraId="73AF7EFA" w14:textId="41221B7F" w:rsidR="007F09CB" w:rsidRDefault="00DB28EC">
                      <w:pPr>
                        <w:textDirection w:val="btLr"/>
                      </w:pPr>
                      <w:r>
                        <w:rPr>
                          <w:rFonts w:ascii="Calibri" w:hAnsi="Calibri" w:cs="Calibri"/>
                          <w:color w:val="FFFFFF"/>
                          <w:sz w:val="24"/>
                        </w:rPr>
                        <w:t xml:space="preserve">Datums: </w:t>
                      </w:r>
                      <w:r w:rsidR="0053072A">
                        <w:rPr>
                          <w:rFonts w:ascii="Calibri" w:hAnsi="Calibri" w:cs="Calibri"/>
                          <w:color w:val="FFFFFF"/>
                          <w:sz w:val="24"/>
                        </w:rPr>
                        <w:t>22</w:t>
                      </w:r>
                      <w:r>
                        <w:rPr>
                          <w:rFonts w:ascii="Calibri" w:hAnsi="Calibri" w:cs="Calibri"/>
                          <w:color w:val="FFFFFF"/>
                          <w:sz w:val="24"/>
                        </w:rPr>
                        <w:t>.03.2022.</w:t>
                      </w:r>
                    </w:p>
                  </w:txbxContent>
                </v:textbox>
              </v:rect>
            </w:pict>
          </mc:Fallback>
        </mc:AlternateContent>
      </w:r>
      <w:bookmarkStart w:id="0" w:name="_heading=h.gjdgxs" w:colFirst="0" w:colLast="0"/>
      <w:bookmarkEnd w:id="0"/>
      <w:r w:rsidR="00DB28EC" w:rsidRPr="0053072A">
        <w:rPr>
          <w:noProof/>
          <w:lang w:val="lv-LV"/>
        </w:rPr>
        <w:drawing>
          <wp:anchor distT="0" distB="0" distL="114300" distR="114300" simplePos="0" relativeHeight="251663360" behindDoc="0" locked="0" layoutInCell="1" hidden="0" allowOverlap="1" wp14:anchorId="195E7B87" wp14:editId="58B5A0BD">
            <wp:simplePos x="0" y="0"/>
            <wp:positionH relativeFrom="column">
              <wp:posOffset>1711325</wp:posOffset>
            </wp:positionH>
            <wp:positionV relativeFrom="paragraph">
              <wp:posOffset>0</wp:posOffset>
            </wp:positionV>
            <wp:extent cx="2574510" cy="540000"/>
            <wp:effectExtent l="0" t="0" r="0" b="0"/>
            <wp:wrapSquare wrapText="bothSides" distT="0" distB="0" distL="114300" distR="114300"/>
            <wp:docPr id="117"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2"/>
                    <a:srcRect/>
                    <a:stretch>
                      <a:fillRect/>
                    </a:stretch>
                  </pic:blipFill>
                  <pic:spPr>
                    <a:xfrm>
                      <a:off x="0" y="0"/>
                      <a:ext cx="2574510" cy="540000"/>
                    </a:xfrm>
                    <a:prstGeom prst="rect">
                      <a:avLst/>
                    </a:prstGeom>
                    <a:ln/>
                  </pic:spPr>
                </pic:pic>
              </a:graphicData>
            </a:graphic>
          </wp:anchor>
        </w:drawing>
      </w:r>
    </w:p>
    <w:p w14:paraId="00000002" w14:textId="77777777" w:rsidR="007F09CB" w:rsidRPr="0053072A" w:rsidRDefault="007F09CB">
      <w:pPr>
        <w:tabs>
          <w:tab w:val="left" w:pos="1678"/>
        </w:tabs>
        <w:rPr>
          <w:lang w:val="lv-LV"/>
        </w:rPr>
      </w:pPr>
    </w:p>
    <w:p w14:paraId="00000003" w14:textId="77777777" w:rsidR="007F09CB" w:rsidRPr="0053072A" w:rsidRDefault="00DB28EC">
      <w:pPr>
        <w:rPr>
          <w:b/>
          <w:smallCaps/>
          <w:color w:val="134753"/>
          <w:sz w:val="40"/>
          <w:szCs w:val="40"/>
          <w:lang w:val="lv-LV"/>
        </w:rPr>
      </w:pPr>
      <w:r w:rsidRPr="0053072A">
        <w:rPr>
          <w:b/>
          <w:smallCaps/>
          <w:color w:val="134753"/>
          <w:sz w:val="40"/>
          <w:szCs w:val="40"/>
          <w:lang w:val="lv-LV"/>
        </w:rPr>
        <w:t>SATURS</w:t>
      </w:r>
    </w:p>
    <w:sdt>
      <w:sdtPr>
        <w:rPr>
          <w:b w:val="0"/>
          <w:bCs/>
          <w:smallCaps w:val="0"/>
          <w:noProof w:val="0"/>
          <w:color w:val="auto"/>
          <w:lang w:val="lv-LV"/>
        </w:rPr>
        <w:id w:val="88357603"/>
        <w:docPartObj>
          <w:docPartGallery w:val="Table of Contents"/>
          <w:docPartUnique/>
        </w:docPartObj>
      </w:sdtPr>
      <w:sdtEndPr/>
      <w:sdtContent>
        <w:p w14:paraId="5A518C66" w14:textId="66678CB5" w:rsidR="006337EC" w:rsidRDefault="00DB28EC">
          <w:pPr>
            <w:pStyle w:val="TOC1"/>
            <w:rPr>
              <w:rFonts w:eastAsiaTheme="minorEastAsia" w:cstheme="minorBidi"/>
              <w:b w:val="0"/>
              <w:smallCaps w:val="0"/>
              <w:color w:val="auto"/>
              <w:lang w:val="lv-LV" w:eastAsia="lv-LV"/>
            </w:rPr>
          </w:pPr>
          <w:r w:rsidRPr="0053072A">
            <w:rPr>
              <w:lang w:val="lv-LV"/>
            </w:rPr>
            <w:fldChar w:fldCharType="begin"/>
          </w:r>
          <w:r w:rsidRPr="0053072A">
            <w:rPr>
              <w:lang w:val="lv-LV"/>
            </w:rPr>
            <w:instrText xml:space="preserve"> TOC \h \u \z </w:instrText>
          </w:r>
          <w:r w:rsidRPr="0053072A">
            <w:rPr>
              <w:lang w:val="lv-LV"/>
            </w:rPr>
            <w:fldChar w:fldCharType="separate"/>
          </w:r>
          <w:hyperlink w:anchor="_Toc98774200" w:history="1">
            <w:r w:rsidR="006337EC" w:rsidRPr="00443533">
              <w:rPr>
                <w:rStyle w:val="Hyperlink"/>
                <w:lang w:val="lv-LV"/>
              </w:rPr>
              <w:t>Saīsinājumi</w:t>
            </w:r>
            <w:r w:rsidR="006337EC">
              <w:rPr>
                <w:webHidden/>
              </w:rPr>
              <w:tab/>
            </w:r>
            <w:r w:rsidR="006337EC">
              <w:rPr>
                <w:webHidden/>
              </w:rPr>
              <w:fldChar w:fldCharType="begin"/>
            </w:r>
            <w:r w:rsidR="006337EC">
              <w:rPr>
                <w:webHidden/>
              </w:rPr>
              <w:instrText xml:space="preserve"> PAGEREF _Toc98774200 \h </w:instrText>
            </w:r>
            <w:r w:rsidR="006337EC">
              <w:rPr>
                <w:webHidden/>
              </w:rPr>
            </w:r>
            <w:r w:rsidR="006337EC">
              <w:rPr>
                <w:webHidden/>
              </w:rPr>
              <w:fldChar w:fldCharType="separate"/>
            </w:r>
            <w:r w:rsidR="00C27F25">
              <w:rPr>
                <w:webHidden/>
              </w:rPr>
              <w:t>3</w:t>
            </w:r>
            <w:r w:rsidR="006337EC">
              <w:rPr>
                <w:webHidden/>
              </w:rPr>
              <w:fldChar w:fldCharType="end"/>
            </w:r>
          </w:hyperlink>
        </w:p>
        <w:p w14:paraId="058404AB" w14:textId="542503B9" w:rsidR="006337EC" w:rsidRDefault="00BE1865">
          <w:pPr>
            <w:pStyle w:val="TOC1"/>
            <w:rPr>
              <w:rFonts w:eastAsiaTheme="minorEastAsia" w:cstheme="minorBidi"/>
              <w:b w:val="0"/>
              <w:smallCaps w:val="0"/>
              <w:color w:val="auto"/>
              <w:lang w:val="lv-LV" w:eastAsia="lv-LV"/>
            </w:rPr>
          </w:pPr>
          <w:hyperlink w:anchor="_Toc98774201" w:history="1">
            <w:r w:rsidR="006337EC" w:rsidRPr="00443533">
              <w:rPr>
                <w:rStyle w:val="Hyperlink"/>
                <w:lang w:val="lv-LV"/>
              </w:rPr>
              <w:t>Ievads</w:t>
            </w:r>
            <w:r w:rsidR="006337EC">
              <w:rPr>
                <w:webHidden/>
              </w:rPr>
              <w:tab/>
            </w:r>
            <w:r w:rsidR="006337EC">
              <w:rPr>
                <w:webHidden/>
              </w:rPr>
              <w:fldChar w:fldCharType="begin"/>
            </w:r>
            <w:r w:rsidR="006337EC">
              <w:rPr>
                <w:webHidden/>
              </w:rPr>
              <w:instrText xml:space="preserve"> PAGEREF _Toc98774201 \h </w:instrText>
            </w:r>
            <w:r w:rsidR="006337EC">
              <w:rPr>
                <w:webHidden/>
              </w:rPr>
            </w:r>
            <w:r w:rsidR="006337EC">
              <w:rPr>
                <w:webHidden/>
              </w:rPr>
              <w:fldChar w:fldCharType="separate"/>
            </w:r>
            <w:r w:rsidR="00C27F25">
              <w:rPr>
                <w:webHidden/>
              </w:rPr>
              <w:t>4</w:t>
            </w:r>
            <w:r w:rsidR="006337EC">
              <w:rPr>
                <w:webHidden/>
              </w:rPr>
              <w:fldChar w:fldCharType="end"/>
            </w:r>
          </w:hyperlink>
        </w:p>
        <w:p w14:paraId="34B3BEE8" w14:textId="22F51CBA" w:rsidR="006337EC" w:rsidRDefault="00BE1865">
          <w:pPr>
            <w:pStyle w:val="TOC1"/>
            <w:rPr>
              <w:rFonts w:eastAsiaTheme="minorEastAsia" w:cstheme="minorBidi"/>
              <w:b w:val="0"/>
              <w:smallCaps w:val="0"/>
              <w:color w:val="auto"/>
              <w:lang w:val="lv-LV" w:eastAsia="lv-LV"/>
            </w:rPr>
          </w:pPr>
          <w:hyperlink w:anchor="_Toc98774202" w:history="1">
            <w:r w:rsidR="006337EC" w:rsidRPr="00443533">
              <w:rPr>
                <w:rStyle w:val="Hyperlink"/>
                <w:lang w:val="lv-LV"/>
              </w:rPr>
              <w:t>1.</w:t>
            </w:r>
            <w:r w:rsidR="006337EC">
              <w:rPr>
                <w:rFonts w:eastAsiaTheme="minorEastAsia" w:cstheme="minorBidi"/>
                <w:b w:val="0"/>
                <w:smallCaps w:val="0"/>
                <w:color w:val="auto"/>
                <w:lang w:val="lv-LV" w:eastAsia="lv-LV"/>
              </w:rPr>
              <w:tab/>
            </w:r>
            <w:r w:rsidR="006337EC" w:rsidRPr="00443533">
              <w:rPr>
                <w:rStyle w:val="Hyperlink"/>
                <w:lang w:val="lv-LV"/>
              </w:rPr>
              <w:t>ārējās vides analīze</w:t>
            </w:r>
            <w:r w:rsidR="006337EC">
              <w:rPr>
                <w:webHidden/>
              </w:rPr>
              <w:tab/>
            </w:r>
            <w:r w:rsidR="006337EC">
              <w:rPr>
                <w:webHidden/>
              </w:rPr>
              <w:fldChar w:fldCharType="begin"/>
            </w:r>
            <w:r w:rsidR="006337EC">
              <w:rPr>
                <w:webHidden/>
              </w:rPr>
              <w:instrText xml:space="preserve"> PAGEREF _Toc98774202 \h </w:instrText>
            </w:r>
            <w:r w:rsidR="006337EC">
              <w:rPr>
                <w:webHidden/>
              </w:rPr>
            </w:r>
            <w:r w:rsidR="006337EC">
              <w:rPr>
                <w:webHidden/>
              </w:rPr>
              <w:fldChar w:fldCharType="separate"/>
            </w:r>
            <w:r w:rsidR="00C27F25">
              <w:rPr>
                <w:webHidden/>
              </w:rPr>
              <w:t>6</w:t>
            </w:r>
            <w:r w:rsidR="006337EC">
              <w:rPr>
                <w:webHidden/>
              </w:rPr>
              <w:fldChar w:fldCharType="end"/>
            </w:r>
          </w:hyperlink>
        </w:p>
        <w:p w14:paraId="6EAF9941" w14:textId="4E8B7530" w:rsidR="006337EC" w:rsidRDefault="00BE1865">
          <w:pPr>
            <w:pStyle w:val="TOC2"/>
            <w:tabs>
              <w:tab w:val="left" w:pos="554"/>
              <w:tab w:val="right" w:leader="dot" w:pos="9435"/>
            </w:tabs>
            <w:rPr>
              <w:rFonts w:eastAsiaTheme="minorEastAsia" w:cstheme="minorBidi"/>
              <w:bCs w:val="0"/>
              <w:noProof/>
              <w:lang w:val="lv-LV" w:eastAsia="lv-LV"/>
            </w:rPr>
          </w:pPr>
          <w:hyperlink w:anchor="_Toc98774203" w:history="1">
            <w:r w:rsidR="006337EC" w:rsidRPr="00443533">
              <w:rPr>
                <w:rStyle w:val="Hyperlink"/>
                <w:noProof/>
                <w:lang w:val="lv-LV"/>
              </w:rPr>
              <w:t>1.1.</w:t>
            </w:r>
            <w:r w:rsidR="006337EC">
              <w:rPr>
                <w:rFonts w:eastAsiaTheme="minorEastAsia" w:cstheme="minorBidi"/>
                <w:bCs w:val="0"/>
                <w:noProof/>
                <w:lang w:val="lv-LV" w:eastAsia="lv-LV"/>
              </w:rPr>
              <w:tab/>
            </w:r>
            <w:r w:rsidR="006337EC" w:rsidRPr="00443533">
              <w:rPr>
                <w:rStyle w:val="Hyperlink"/>
                <w:noProof/>
                <w:lang w:val="lv-LV"/>
              </w:rPr>
              <w:t>Politiskie faktori</w:t>
            </w:r>
            <w:r w:rsidR="006337EC">
              <w:rPr>
                <w:noProof/>
                <w:webHidden/>
              </w:rPr>
              <w:tab/>
            </w:r>
            <w:r w:rsidR="006337EC">
              <w:rPr>
                <w:noProof/>
                <w:webHidden/>
              </w:rPr>
              <w:fldChar w:fldCharType="begin"/>
            </w:r>
            <w:r w:rsidR="006337EC">
              <w:rPr>
                <w:noProof/>
                <w:webHidden/>
              </w:rPr>
              <w:instrText xml:space="preserve"> PAGEREF _Toc98774203 \h </w:instrText>
            </w:r>
            <w:r w:rsidR="006337EC">
              <w:rPr>
                <w:noProof/>
                <w:webHidden/>
              </w:rPr>
            </w:r>
            <w:r w:rsidR="006337EC">
              <w:rPr>
                <w:noProof/>
                <w:webHidden/>
              </w:rPr>
              <w:fldChar w:fldCharType="separate"/>
            </w:r>
            <w:r w:rsidR="00C27F25">
              <w:rPr>
                <w:noProof/>
                <w:webHidden/>
              </w:rPr>
              <w:t>6</w:t>
            </w:r>
            <w:r w:rsidR="006337EC">
              <w:rPr>
                <w:noProof/>
                <w:webHidden/>
              </w:rPr>
              <w:fldChar w:fldCharType="end"/>
            </w:r>
          </w:hyperlink>
        </w:p>
        <w:p w14:paraId="61973DAF" w14:textId="5A2B8B92" w:rsidR="006337EC" w:rsidRDefault="00BE1865">
          <w:pPr>
            <w:pStyle w:val="TOC2"/>
            <w:tabs>
              <w:tab w:val="left" w:pos="554"/>
              <w:tab w:val="right" w:leader="dot" w:pos="9435"/>
            </w:tabs>
            <w:rPr>
              <w:rFonts w:eastAsiaTheme="minorEastAsia" w:cstheme="minorBidi"/>
              <w:bCs w:val="0"/>
              <w:noProof/>
              <w:lang w:val="lv-LV" w:eastAsia="lv-LV"/>
            </w:rPr>
          </w:pPr>
          <w:hyperlink w:anchor="_Toc98774204" w:history="1">
            <w:r w:rsidR="006337EC" w:rsidRPr="00443533">
              <w:rPr>
                <w:rStyle w:val="Hyperlink"/>
                <w:noProof/>
                <w:lang w:val="lv-LV"/>
              </w:rPr>
              <w:t>1.2.</w:t>
            </w:r>
            <w:r w:rsidR="006337EC">
              <w:rPr>
                <w:rFonts w:eastAsiaTheme="minorEastAsia" w:cstheme="minorBidi"/>
                <w:bCs w:val="0"/>
                <w:noProof/>
                <w:lang w:val="lv-LV" w:eastAsia="lv-LV"/>
              </w:rPr>
              <w:tab/>
            </w:r>
            <w:r w:rsidR="006337EC" w:rsidRPr="00443533">
              <w:rPr>
                <w:rStyle w:val="Hyperlink"/>
                <w:noProof/>
                <w:lang w:val="lv-LV"/>
              </w:rPr>
              <w:t>Ekonomiskie faktori</w:t>
            </w:r>
            <w:r w:rsidR="006337EC">
              <w:rPr>
                <w:noProof/>
                <w:webHidden/>
              </w:rPr>
              <w:tab/>
            </w:r>
            <w:r w:rsidR="006337EC">
              <w:rPr>
                <w:noProof/>
                <w:webHidden/>
              </w:rPr>
              <w:fldChar w:fldCharType="begin"/>
            </w:r>
            <w:r w:rsidR="006337EC">
              <w:rPr>
                <w:noProof/>
                <w:webHidden/>
              </w:rPr>
              <w:instrText xml:space="preserve"> PAGEREF _Toc98774204 \h </w:instrText>
            </w:r>
            <w:r w:rsidR="006337EC">
              <w:rPr>
                <w:noProof/>
                <w:webHidden/>
              </w:rPr>
            </w:r>
            <w:r w:rsidR="006337EC">
              <w:rPr>
                <w:noProof/>
                <w:webHidden/>
              </w:rPr>
              <w:fldChar w:fldCharType="separate"/>
            </w:r>
            <w:r w:rsidR="00C27F25">
              <w:rPr>
                <w:noProof/>
                <w:webHidden/>
              </w:rPr>
              <w:t>8</w:t>
            </w:r>
            <w:r w:rsidR="006337EC">
              <w:rPr>
                <w:noProof/>
                <w:webHidden/>
              </w:rPr>
              <w:fldChar w:fldCharType="end"/>
            </w:r>
          </w:hyperlink>
        </w:p>
        <w:p w14:paraId="02265226" w14:textId="482B3C66" w:rsidR="006337EC" w:rsidRDefault="00BE1865">
          <w:pPr>
            <w:pStyle w:val="TOC2"/>
            <w:tabs>
              <w:tab w:val="left" w:pos="554"/>
              <w:tab w:val="right" w:leader="dot" w:pos="9435"/>
            </w:tabs>
            <w:rPr>
              <w:rFonts w:eastAsiaTheme="minorEastAsia" w:cstheme="minorBidi"/>
              <w:bCs w:val="0"/>
              <w:noProof/>
              <w:lang w:val="lv-LV" w:eastAsia="lv-LV"/>
            </w:rPr>
          </w:pPr>
          <w:hyperlink w:anchor="_Toc98774205" w:history="1">
            <w:r w:rsidR="006337EC" w:rsidRPr="00443533">
              <w:rPr>
                <w:rStyle w:val="Hyperlink"/>
                <w:noProof/>
                <w:lang w:val="lv-LV"/>
              </w:rPr>
              <w:t>1.3.</w:t>
            </w:r>
            <w:r w:rsidR="006337EC">
              <w:rPr>
                <w:rFonts w:eastAsiaTheme="minorEastAsia" w:cstheme="minorBidi"/>
                <w:bCs w:val="0"/>
                <w:noProof/>
                <w:lang w:val="lv-LV" w:eastAsia="lv-LV"/>
              </w:rPr>
              <w:tab/>
            </w:r>
            <w:r w:rsidR="006337EC" w:rsidRPr="00443533">
              <w:rPr>
                <w:rStyle w:val="Hyperlink"/>
                <w:noProof/>
                <w:lang w:val="lv-LV"/>
              </w:rPr>
              <w:t>Sociālās vides ietekme</w:t>
            </w:r>
            <w:r w:rsidR="006337EC">
              <w:rPr>
                <w:noProof/>
                <w:webHidden/>
              </w:rPr>
              <w:tab/>
            </w:r>
            <w:r w:rsidR="006337EC">
              <w:rPr>
                <w:noProof/>
                <w:webHidden/>
              </w:rPr>
              <w:fldChar w:fldCharType="begin"/>
            </w:r>
            <w:r w:rsidR="006337EC">
              <w:rPr>
                <w:noProof/>
                <w:webHidden/>
              </w:rPr>
              <w:instrText xml:space="preserve"> PAGEREF _Toc98774205 \h </w:instrText>
            </w:r>
            <w:r w:rsidR="006337EC">
              <w:rPr>
                <w:noProof/>
                <w:webHidden/>
              </w:rPr>
            </w:r>
            <w:r w:rsidR="006337EC">
              <w:rPr>
                <w:noProof/>
                <w:webHidden/>
              </w:rPr>
              <w:fldChar w:fldCharType="separate"/>
            </w:r>
            <w:r w:rsidR="00C27F25">
              <w:rPr>
                <w:noProof/>
                <w:webHidden/>
              </w:rPr>
              <w:t>9</w:t>
            </w:r>
            <w:r w:rsidR="006337EC">
              <w:rPr>
                <w:noProof/>
                <w:webHidden/>
              </w:rPr>
              <w:fldChar w:fldCharType="end"/>
            </w:r>
          </w:hyperlink>
        </w:p>
        <w:p w14:paraId="132A1AAE" w14:textId="792D8A52" w:rsidR="006337EC" w:rsidRDefault="00BE1865">
          <w:pPr>
            <w:pStyle w:val="TOC2"/>
            <w:tabs>
              <w:tab w:val="left" w:pos="554"/>
              <w:tab w:val="right" w:leader="dot" w:pos="9435"/>
            </w:tabs>
            <w:rPr>
              <w:rFonts w:eastAsiaTheme="minorEastAsia" w:cstheme="minorBidi"/>
              <w:bCs w:val="0"/>
              <w:noProof/>
              <w:lang w:val="lv-LV" w:eastAsia="lv-LV"/>
            </w:rPr>
          </w:pPr>
          <w:hyperlink w:anchor="_Toc98774206" w:history="1">
            <w:r w:rsidR="006337EC" w:rsidRPr="00443533">
              <w:rPr>
                <w:rStyle w:val="Hyperlink"/>
                <w:noProof/>
                <w:lang w:val="lv-LV"/>
              </w:rPr>
              <w:t>1.4.</w:t>
            </w:r>
            <w:r w:rsidR="006337EC">
              <w:rPr>
                <w:rFonts w:eastAsiaTheme="minorEastAsia" w:cstheme="minorBidi"/>
                <w:bCs w:val="0"/>
                <w:noProof/>
                <w:lang w:val="lv-LV" w:eastAsia="lv-LV"/>
              </w:rPr>
              <w:tab/>
            </w:r>
            <w:r w:rsidR="006337EC" w:rsidRPr="00443533">
              <w:rPr>
                <w:rStyle w:val="Hyperlink"/>
                <w:noProof/>
                <w:lang w:val="lv-LV"/>
              </w:rPr>
              <w:t>Tehnoloģiskie faktori</w:t>
            </w:r>
            <w:r w:rsidR="006337EC">
              <w:rPr>
                <w:noProof/>
                <w:webHidden/>
              </w:rPr>
              <w:tab/>
            </w:r>
            <w:r w:rsidR="006337EC">
              <w:rPr>
                <w:noProof/>
                <w:webHidden/>
              </w:rPr>
              <w:fldChar w:fldCharType="begin"/>
            </w:r>
            <w:r w:rsidR="006337EC">
              <w:rPr>
                <w:noProof/>
                <w:webHidden/>
              </w:rPr>
              <w:instrText xml:space="preserve"> PAGEREF _Toc98774206 \h </w:instrText>
            </w:r>
            <w:r w:rsidR="006337EC">
              <w:rPr>
                <w:noProof/>
                <w:webHidden/>
              </w:rPr>
            </w:r>
            <w:r w:rsidR="006337EC">
              <w:rPr>
                <w:noProof/>
                <w:webHidden/>
              </w:rPr>
              <w:fldChar w:fldCharType="separate"/>
            </w:r>
            <w:r w:rsidR="00C27F25">
              <w:rPr>
                <w:noProof/>
                <w:webHidden/>
              </w:rPr>
              <w:t>9</w:t>
            </w:r>
            <w:r w:rsidR="006337EC">
              <w:rPr>
                <w:noProof/>
                <w:webHidden/>
              </w:rPr>
              <w:fldChar w:fldCharType="end"/>
            </w:r>
          </w:hyperlink>
        </w:p>
        <w:p w14:paraId="514E3265" w14:textId="6AED82D9" w:rsidR="006337EC" w:rsidRDefault="00BE1865">
          <w:pPr>
            <w:pStyle w:val="TOC1"/>
            <w:rPr>
              <w:rFonts w:eastAsiaTheme="minorEastAsia" w:cstheme="minorBidi"/>
              <w:b w:val="0"/>
              <w:smallCaps w:val="0"/>
              <w:color w:val="auto"/>
              <w:lang w:val="lv-LV" w:eastAsia="lv-LV"/>
            </w:rPr>
          </w:pPr>
          <w:hyperlink w:anchor="_Toc98774207" w:history="1">
            <w:r w:rsidR="006337EC" w:rsidRPr="00443533">
              <w:rPr>
                <w:rStyle w:val="Hyperlink"/>
                <w:lang w:val="lv-LV"/>
              </w:rPr>
              <w:t>2.</w:t>
            </w:r>
            <w:r w:rsidR="006337EC">
              <w:rPr>
                <w:rFonts w:eastAsiaTheme="minorEastAsia" w:cstheme="minorBidi"/>
                <w:b w:val="0"/>
                <w:smallCaps w:val="0"/>
                <w:color w:val="auto"/>
                <w:lang w:val="lv-LV" w:eastAsia="lv-LV"/>
              </w:rPr>
              <w:tab/>
            </w:r>
            <w:r w:rsidR="006337EC" w:rsidRPr="00443533">
              <w:rPr>
                <w:rStyle w:val="Hyperlink"/>
                <w:lang w:val="lv-LV"/>
              </w:rPr>
              <w:t>Iekšējās vides analīze</w:t>
            </w:r>
            <w:r w:rsidR="006337EC">
              <w:rPr>
                <w:webHidden/>
              </w:rPr>
              <w:tab/>
            </w:r>
            <w:r w:rsidR="006337EC">
              <w:rPr>
                <w:webHidden/>
              </w:rPr>
              <w:fldChar w:fldCharType="begin"/>
            </w:r>
            <w:r w:rsidR="006337EC">
              <w:rPr>
                <w:webHidden/>
              </w:rPr>
              <w:instrText xml:space="preserve"> PAGEREF _Toc98774207 \h </w:instrText>
            </w:r>
            <w:r w:rsidR="006337EC">
              <w:rPr>
                <w:webHidden/>
              </w:rPr>
            </w:r>
            <w:r w:rsidR="006337EC">
              <w:rPr>
                <w:webHidden/>
              </w:rPr>
              <w:fldChar w:fldCharType="separate"/>
            </w:r>
            <w:r w:rsidR="00C27F25">
              <w:rPr>
                <w:webHidden/>
              </w:rPr>
              <w:t>11</w:t>
            </w:r>
            <w:r w:rsidR="006337EC">
              <w:rPr>
                <w:webHidden/>
              </w:rPr>
              <w:fldChar w:fldCharType="end"/>
            </w:r>
          </w:hyperlink>
        </w:p>
        <w:p w14:paraId="3FF02B7A" w14:textId="0446D693" w:rsidR="006337EC" w:rsidRDefault="00BE1865">
          <w:pPr>
            <w:pStyle w:val="TOC2"/>
            <w:tabs>
              <w:tab w:val="left" w:pos="554"/>
              <w:tab w:val="right" w:leader="dot" w:pos="9435"/>
            </w:tabs>
            <w:rPr>
              <w:rFonts w:eastAsiaTheme="minorEastAsia" w:cstheme="minorBidi"/>
              <w:bCs w:val="0"/>
              <w:noProof/>
              <w:lang w:val="lv-LV" w:eastAsia="lv-LV"/>
            </w:rPr>
          </w:pPr>
          <w:hyperlink w:anchor="_Toc98774208" w:history="1">
            <w:r w:rsidR="006337EC" w:rsidRPr="00443533">
              <w:rPr>
                <w:rStyle w:val="Hyperlink"/>
                <w:noProof/>
                <w:lang w:val="lv-LV"/>
              </w:rPr>
              <w:t>2.1.</w:t>
            </w:r>
            <w:r w:rsidR="006337EC">
              <w:rPr>
                <w:rFonts w:eastAsiaTheme="minorEastAsia" w:cstheme="minorBidi"/>
                <w:bCs w:val="0"/>
                <w:noProof/>
                <w:lang w:val="lv-LV" w:eastAsia="lv-LV"/>
              </w:rPr>
              <w:tab/>
            </w:r>
            <w:r w:rsidR="006337EC" w:rsidRPr="00443533">
              <w:rPr>
                <w:rStyle w:val="Hyperlink"/>
                <w:noProof/>
                <w:lang w:val="lv-LV"/>
              </w:rPr>
              <w:t>Aģentūras apraksts – funkcijas, personāls un ieviešana</w:t>
            </w:r>
            <w:r w:rsidR="006337EC">
              <w:rPr>
                <w:noProof/>
                <w:webHidden/>
              </w:rPr>
              <w:tab/>
            </w:r>
            <w:r w:rsidR="006337EC">
              <w:rPr>
                <w:noProof/>
                <w:webHidden/>
              </w:rPr>
              <w:fldChar w:fldCharType="begin"/>
            </w:r>
            <w:r w:rsidR="006337EC">
              <w:rPr>
                <w:noProof/>
                <w:webHidden/>
              </w:rPr>
              <w:instrText xml:space="preserve"> PAGEREF _Toc98774208 \h </w:instrText>
            </w:r>
            <w:r w:rsidR="006337EC">
              <w:rPr>
                <w:noProof/>
                <w:webHidden/>
              </w:rPr>
            </w:r>
            <w:r w:rsidR="006337EC">
              <w:rPr>
                <w:noProof/>
                <w:webHidden/>
              </w:rPr>
              <w:fldChar w:fldCharType="separate"/>
            </w:r>
            <w:r w:rsidR="00C27F25">
              <w:rPr>
                <w:noProof/>
                <w:webHidden/>
              </w:rPr>
              <w:t>11</w:t>
            </w:r>
            <w:r w:rsidR="006337EC">
              <w:rPr>
                <w:noProof/>
                <w:webHidden/>
              </w:rPr>
              <w:fldChar w:fldCharType="end"/>
            </w:r>
          </w:hyperlink>
        </w:p>
        <w:p w14:paraId="7BC0B88A" w14:textId="6FDEC317" w:rsidR="006337EC" w:rsidRDefault="00BE1865">
          <w:pPr>
            <w:pStyle w:val="TOC2"/>
            <w:tabs>
              <w:tab w:val="left" w:pos="554"/>
              <w:tab w:val="right" w:leader="dot" w:pos="9435"/>
            </w:tabs>
            <w:rPr>
              <w:rFonts w:eastAsiaTheme="minorEastAsia" w:cstheme="minorBidi"/>
              <w:bCs w:val="0"/>
              <w:noProof/>
              <w:lang w:val="lv-LV" w:eastAsia="lv-LV"/>
            </w:rPr>
          </w:pPr>
          <w:hyperlink w:anchor="_Toc98774209" w:history="1">
            <w:r w:rsidR="006337EC" w:rsidRPr="00443533">
              <w:rPr>
                <w:rStyle w:val="Hyperlink"/>
                <w:noProof/>
                <w:lang w:val="lv-LV"/>
              </w:rPr>
              <w:t>2.2.</w:t>
            </w:r>
            <w:r w:rsidR="006337EC">
              <w:rPr>
                <w:rFonts w:eastAsiaTheme="minorEastAsia" w:cstheme="minorBidi"/>
                <w:bCs w:val="0"/>
                <w:noProof/>
                <w:lang w:val="lv-LV" w:eastAsia="lv-LV"/>
              </w:rPr>
              <w:tab/>
            </w:r>
            <w:r w:rsidR="006337EC" w:rsidRPr="00443533">
              <w:rPr>
                <w:rStyle w:val="Hyperlink"/>
                <w:noProof/>
                <w:lang w:val="lv-LV"/>
              </w:rPr>
              <w:t>Drošības rezervju iepirkšanas un rotācijas process</w:t>
            </w:r>
            <w:r w:rsidR="006337EC">
              <w:rPr>
                <w:noProof/>
                <w:webHidden/>
              </w:rPr>
              <w:tab/>
            </w:r>
            <w:r w:rsidR="006337EC">
              <w:rPr>
                <w:noProof/>
                <w:webHidden/>
              </w:rPr>
              <w:fldChar w:fldCharType="begin"/>
            </w:r>
            <w:r w:rsidR="006337EC">
              <w:rPr>
                <w:noProof/>
                <w:webHidden/>
              </w:rPr>
              <w:instrText xml:space="preserve"> PAGEREF _Toc98774209 \h </w:instrText>
            </w:r>
            <w:r w:rsidR="006337EC">
              <w:rPr>
                <w:noProof/>
                <w:webHidden/>
              </w:rPr>
            </w:r>
            <w:r w:rsidR="006337EC">
              <w:rPr>
                <w:noProof/>
                <w:webHidden/>
              </w:rPr>
              <w:fldChar w:fldCharType="separate"/>
            </w:r>
            <w:r w:rsidR="00C27F25">
              <w:rPr>
                <w:noProof/>
                <w:webHidden/>
              </w:rPr>
              <w:t>14</w:t>
            </w:r>
            <w:r w:rsidR="006337EC">
              <w:rPr>
                <w:noProof/>
                <w:webHidden/>
              </w:rPr>
              <w:fldChar w:fldCharType="end"/>
            </w:r>
          </w:hyperlink>
        </w:p>
        <w:p w14:paraId="2B748271" w14:textId="265C4D5C" w:rsidR="006337EC" w:rsidRDefault="00BE1865">
          <w:pPr>
            <w:pStyle w:val="TOC1"/>
            <w:rPr>
              <w:rFonts w:eastAsiaTheme="minorEastAsia" w:cstheme="minorBidi"/>
              <w:b w:val="0"/>
              <w:smallCaps w:val="0"/>
              <w:color w:val="auto"/>
              <w:lang w:val="lv-LV" w:eastAsia="lv-LV"/>
            </w:rPr>
          </w:pPr>
          <w:hyperlink w:anchor="_Toc98774210" w:history="1">
            <w:r w:rsidR="006337EC" w:rsidRPr="00443533">
              <w:rPr>
                <w:rStyle w:val="Hyperlink"/>
                <w:rFonts w:ascii="Arial" w:eastAsia="Arial" w:hAnsi="Arial" w:cs="Arial"/>
                <w:lang w:val="lv-LV"/>
              </w:rPr>
              <w:t>3.</w:t>
            </w:r>
            <w:r w:rsidR="006337EC">
              <w:rPr>
                <w:rFonts w:eastAsiaTheme="minorEastAsia" w:cstheme="minorBidi"/>
                <w:b w:val="0"/>
                <w:smallCaps w:val="0"/>
                <w:color w:val="auto"/>
                <w:lang w:val="lv-LV" w:eastAsia="lv-LV"/>
              </w:rPr>
              <w:tab/>
            </w:r>
            <w:r w:rsidR="006337EC" w:rsidRPr="00443533">
              <w:rPr>
                <w:rStyle w:val="Hyperlink"/>
                <w:lang w:val="lv-LV"/>
              </w:rPr>
              <w:t>Aģentūras darbības analīze</w:t>
            </w:r>
            <w:r w:rsidR="006337EC">
              <w:rPr>
                <w:webHidden/>
              </w:rPr>
              <w:tab/>
            </w:r>
            <w:r w:rsidR="006337EC">
              <w:rPr>
                <w:webHidden/>
              </w:rPr>
              <w:fldChar w:fldCharType="begin"/>
            </w:r>
            <w:r w:rsidR="006337EC">
              <w:rPr>
                <w:webHidden/>
              </w:rPr>
              <w:instrText xml:space="preserve"> PAGEREF _Toc98774210 \h </w:instrText>
            </w:r>
            <w:r w:rsidR="006337EC">
              <w:rPr>
                <w:webHidden/>
              </w:rPr>
            </w:r>
            <w:r w:rsidR="006337EC">
              <w:rPr>
                <w:webHidden/>
              </w:rPr>
              <w:fldChar w:fldCharType="separate"/>
            </w:r>
            <w:r w:rsidR="00C27F25">
              <w:rPr>
                <w:webHidden/>
              </w:rPr>
              <w:t>19</w:t>
            </w:r>
            <w:r w:rsidR="006337EC">
              <w:rPr>
                <w:webHidden/>
              </w:rPr>
              <w:fldChar w:fldCharType="end"/>
            </w:r>
          </w:hyperlink>
        </w:p>
        <w:p w14:paraId="2FBCE9B7" w14:textId="1D47B386" w:rsidR="006337EC" w:rsidRDefault="00BE1865">
          <w:pPr>
            <w:pStyle w:val="TOC2"/>
            <w:tabs>
              <w:tab w:val="left" w:pos="554"/>
              <w:tab w:val="right" w:leader="dot" w:pos="9435"/>
            </w:tabs>
            <w:rPr>
              <w:rFonts w:eastAsiaTheme="minorEastAsia" w:cstheme="minorBidi"/>
              <w:bCs w:val="0"/>
              <w:noProof/>
              <w:lang w:val="lv-LV" w:eastAsia="lv-LV"/>
            </w:rPr>
          </w:pPr>
          <w:hyperlink w:anchor="_Toc98774211" w:history="1">
            <w:r w:rsidR="006337EC" w:rsidRPr="00443533">
              <w:rPr>
                <w:rStyle w:val="Hyperlink"/>
                <w:noProof/>
                <w:lang w:val="lv-LV"/>
              </w:rPr>
              <w:t>3.1.</w:t>
            </w:r>
            <w:r w:rsidR="006337EC">
              <w:rPr>
                <w:rFonts w:eastAsiaTheme="minorEastAsia" w:cstheme="minorBidi"/>
                <w:bCs w:val="0"/>
                <w:noProof/>
                <w:lang w:val="lv-LV" w:eastAsia="lv-LV"/>
              </w:rPr>
              <w:tab/>
            </w:r>
            <w:r w:rsidR="006337EC" w:rsidRPr="00443533">
              <w:rPr>
                <w:rStyle w:val="Hyperlink"/>
                <w:noProof/>
                <w:lang w:val="lv-LV"/>
              </w:rPr>
              <w:t>Nepieciešamo drošības rezervju veids un apjoms</w:t>
            </w:r>
            <w:r w:rsidR="006337EC">
              <w:rPr>
                <w:noProof/>
                <w:webHidden/>
              </w:rPr>
              <w:tab/>
            </w:r>
            <w:r w:rsidR="006337EC">
              <w:rPr>
                <w:noProof/>
                <w:webHidden/>
              </w:rPr>
              <w:fldChar w:fldCharType="begin"/>
            </w:r>
            <w:r w:rsidR="006337EC">
              <w:rPr>
                <w:noProof/>
                <w:webHidden/>
              </w:rPr>
              <w:instrText xml:space="preserve"> PAGEREF _Toc98774211 \h </w:instrText>
            </w:r>
            <w:r w:rsidR="006337EC">
              <w:rPr>
                <w:noProof/>
                <w:webHidden/>
              </w:rPr>
            </w:r>
            <w:r w:rsidR="006337EC">
              <w:rPr>
                <w:noProof/>
                <w:webHidden/>
              </w:rPr>
              <w:fldChar w:fldCharType="separate"/>
            </w:r>
            <w:r w:rsidR="00C27F25">
              <w:rPr>
                <w:noProof/>
                <w:webHidden/>
              </w:rPr>
              <w:t>19</w:t>
            </w:r>
            <w:r w:rsidR="006337EC">
              <w:rPr>
                <w:noProof/>
                <w:webHidden/>
              </w:rPr>
              <w:fldChar w:fldCharType="end"/>
            </w:r>
          </w:hyperlink>
        </w:p>
        <w:p w14:paraId="7D5EE1F3" w14:textId="5045BEDD" w:rsidR="006337EC" w:rsidRDefault="00BE1865">
          <w:pPr>
            <w:pStyle w:val="TOC2"/>
            <w:tabs>
              <w:tab w:val="left" w:pos="554"/>
              <w:tab w:val="right" w:leader="dot" w:pos="9435"/>
            </w:tabs>
            <w:rPr>
              <w:rFonts w:eastAsiaTheme="minorEastAsia" w:cstheme="minorBidi"/>
              <w:bCs w:val="0"/>
              <w:noProof/>
              <w:lang w:val="lv-LV" w:eastAsia="lv-LV"/>
            </w:rPr>
          </w:pPr>
          <w:hyperlink w:anchor="_Toc98774212" w:history="1">
            <w:r w:rsidR="006337EC" w:rsidRPr="00443533">
              <w:rPr>
                <w:rStyle w:val="Hyperlink"/>
                <w:noProof/>
                <w:lang w:val="lv-LV"/>
              </w:rPr>
              <w:t>3.2.</w:t>
            </w:r>
            <w:r w:rsidR="006337EC">
              <w:rPr>
                <w:rFonts w:eastAsiaTheme="minorEastAsia" w:cstheme="minorBidi"/>
                <w:bCs w:val="0"/>
                <w:noProof/>
                <w:lang w:val="lv-LV" w:eastAsia="lv-LV"/>
              </w:rPr>
              <w:tab/>
            </w:r>
            <w:r w:rsidR="006337EC" w:rsidRPr="00443533">
              <w:rPr>
                <w:rStyle w:val="Hyperlink"/>
                <w:noProof/>
                <w:lang w:val="lv-LV"/>
              </w:rPr>
              <w:t>Naftas produktu cenas, tās ietekmējošie faktori un nākotnes cenas modelēšana</w:t>
            </w:r>
            <w:r w:rsidR="006337EC">
              <w:rPr>
                <w:noProof/>
                <w:webHidden/>
              </w:rPr>
              <w:tab/>
            </w:r>
            <w:r w:rsidR="006337EC">
              <w:rPr>
                <w:noProof/>
                <w:webHidden/>
              </w:rPr>
              <w:fldChar w:fldCharType="begin"/>
            </w:r>
            <w:r w:rsidR="006337EC">
              <w:rPr>
                <w:noProof/>
                <w:webHidden/>
              </w:rPr>
              <w:instrText xml:space="preserve"> PAGEREF _Toc98774212 \h </w:instrText>
            </w:r>
            <w:r w:rsidR="006337EC">
              <w:rPr>
                <w:noProof/>
                <w:webHidden/>
              </w:rPr>
            </w:r>
            <w:r w:rsidR="006337EC">
              <w:rPr>
                <w:noProof/>
                <w:webHidden/>
              </w:rPr>
              <w:fldChar w:fldCharType="separate"/>
            </w:r>
            <w:r w:rsidR="00C27F25">
              <w:rPr>
                <w:noProof/>
                <w:webHidden/>
              </w:rPr>
              <w:t>21</w:t>
            </w:r>
            <w:r w:rsidR="006337EC">
              <w:rPr>
                <w:noProof/>
                <w:webHidden/>
              </w:rPr>
              <w:fldChar w:fldCharType="end"/>
            </w:r>
          </w:hyperlink>
        </w:p>
        <w:p w14:paraId="3C0F2AA1" w14:textId="127A905D" w:rsidR="006337EC" w:rsidRDefault="00BE1865">
          <w:pPr>
            <w:pStyle w:val="TOC2"/>
            <w:tabs>
              <w:tab w:val="left" w:pos="554"/>
              <w:tab w:val="right" w:leader="dot" w:pos="9435"/>
            </w:tabs>
            <w:rPr>
              <w:rFonts w:eastAsiaTheme="minorEastAsia" w:cstheme="minorBidi"/>
              <w:bCs w:val="0"/>
              <w:noProof/>
              <w:lang w:val="lv-LV" w:eastAsia="lv-LV"/>
            </w:rPr>
          </w:pPr>
          <w:hyperlink w:anchor="_Toc98774213" w:history="1">
            <w:r w:rsidR="006337EC" w:rsidRPr="00443533">
              <w:rPr>
                <w:rStyle w:val="Hyperlink"/>
                <w:noProof/>
                <w:lang w:val="lv-LV"/>
              </w:rPr>
              <w:t>3.3.</w:t>
            </w:r>
            <w:r w:rsidR="006337EC">
              <w:rPr>
                <w:rFonts w:eastAsiaTheme="minorEastAsia" w:cstheme="minorBidi"/>
                <w:bCs w:val="0"/>
                <w:noProof/>
                <w:lang w:val="lv-LV" w:eastAsia="lv-LV"/>
              </w:rPr>
              <w:tab/>
            </w:r>
            <w:r w:rsidR="006337EC" w:rsidRPr="00443533">
              <w:rPr>
                <w:rStyle w:val="Hyperlink"/>
                <w:noProof/>
                <w:lang w:val="lv-LV"/>
              </w:rPr>
              <w:t>Drošības rezervju uzglabāšanas infrastruktūra</w:t>
            </w:r>
            <w:r w:rsidR="006337EC">
              <w:rPr>
                <w:noProof/>
                <w:webHidden/>
              </w:rPr>
              <w:tab/>
            </w:r>
            <w:r w:rsidR="006337EC">
              <w:rPr>
                <w:noProof/>
                <w:webHidden/>
              </w:rPr>
              <w:fldChar w:fldCharType="begin"/>
            </w:r>
            <w:r w:rsidR="006337EC">
              <w:rPr>
                <w:noProof/>
                <w:webHidden/>
              </w:rPr>
              <w:instrText xml:space="preserve"> PAGEREF _Toc98774213 \h </w:instrText>
            </w:r>
            <w:r w:rsidR="006337EC">
              <w:rPr>
                <w:noProof/>
                <w:webHidden/>
              </w:rPr>
            </w:r>
            <w:r w:rsidR="006337EC">
              <w:rPr>
                <w:noProof/>
                <w:webHidden/>
              </w:rPr>
              <w:fldChar w:fldCharType="separate"/>
            </w:r>
            <w:r w:rsidR="00C27F25">
              <w:rPr>
                <w:noProof/>
                <w:webHidden/>
              </w:rPr>
              <w:t>24</w:t>
            </w:r>
            <w:r w:rsidR="006337EC">
              <w:rPr>
                <w:noProof/>
                <w:webHidden/>
              </w:rPr>
              <w:fldChar w:fldCharType="end"/>
            </w:r>
          </w:hyperlink>
        </w:p>
        <w:p w14:paraId="2CE32600" w14:textId="55928DBF" w:rsidR="006337EC" w:rsidRDefault="00BE1865">
          <w:pPr>
            <w:pStyle w:val="TOC2"/>
            <w:tabs>
              <w:tab w:val="left" w:pos="554"/>
              <w:tab w:val="right" w:leader="dot" w:pos="9435"/>
            </w:tabs>
            <w:rPr>
              <w:rFonts w:eastAsiaTheme="minorEastAsia" w:cstheme="minorBidi"/>
              <w:bCs w:val="0"/>
              <w:noProof/>
              <w:lang w:val="lv-LV" w:eastAsia="lv-LV"/>
            </w:rPr>
          </w:pPr>
          <w:hyperlink w:anchor="_Toc98774214" w:history="1">
            <w:r w:rsidR="006337EC" w:rsidRPr="00443533">
              <w:rPr>
                <w:rStyle w:val="Hyperlink"/>
                <w:noProof/>
                <w:lang w:val="lv-LV"/>
              </w:rPr>
              <w:t>3.4.</w:t>
            </w:r>
            <w:r w:rsidR="006337EC">
              <w:rPr>
                <w:rFonts w:eastAsiaTheme="minorEastAsia" w:cstheme="minorBidi"/>
                <w:bCs w:val="0"/>
                <w:noProof/>
                <w:lang w:val="lv-LV" w:eastAsia="lv-LV"/>
              </w:rPr>
              <w:tab/>
            </w:r>
            <w:r w:rsidR="006337EC" w:rsidRPr="00443533">
              <w:rPr>
                <w:rStyle w:val="Hyperlink"/>
                <w:noProof/>
                <w:lang w:val="lv-LV"/>
              </w:rPr>
              <w:t>Valsts nodeva un tās nākotnes prognoze</w:t>
            </w:r>
            <w:r w:rsidR="006337EC">
              <w:rPr>
                <w:noProof/>
                <w:webHidden/>
              </w:rPr>
              <w:tab/>
            </w:r>
            <w:r w:rsidR="006337EC">
              <w:rPr>
                <w:noProof/>
                <w:webHidden/>
              </w:rPr>
              <w:fldChar w:fldCharType="begin"/>
            </w:r>
            <w:r w:rsidR="006337EC">
              <w:rPr>
                <w:noProof/>
                <w:webHidden/>
              </w:rPr>
              <w:instrText xml:space="preserve"> PAGEREF _Toc98774214 \h </w:instrText>
            </w:r>
            <w:r w:rsidR="006337EC">
              <w:rPr>
                <w:noProof/>
                <w:webHidden/>
              </w:rPr>
            </w:r>
            <w:r w:rsidR="006337EC">
              <w:rPr>
                <w:noProof/>
                <w:webHidden/>
              </w:rPr>
              <w:fldChar w:fldCharType="separate"/>
            </w:r>
            <w:r w:rsidR="00C27F25">
              <w:rPr>
                <w:noProof/>
                <w:webHidden/>
              </w:rPr>
              <w:t>25</w:t>
            </w:r>
            <w:r w:rsidR="006337EC">
              <w:rPr>
                <w:noProof/>
                <w:webHidden/>
              </w:rPr>
              <w:fldChar w:fldCharType="end"/>
            </w:r>
          </w:hyperlink>
        </w:p>
        <w:p w14:paraId="21359ABB" w14:textId="35B96A15" w:rsidR="006337EC" w:rsidRDefault="00BE1865">
          <w:pPr>
            <w:pStyle w:val="TOC1"/>
            <w:rPr>
              <w:rFonts w:eastAsiaTheme="minorEastAsia" w:cstheme="minorBidi"/>
              <w:b w:val="0"/>
              <w:smallCaps w:val="0"/>
              <w:color w:val="auto"/>
              <w:lang w:val="lv-LV" w:eastAsia="lv-LV"/>
            </w:rPr>
          </w:pPr>
          <w:hyperlink w:anchor="_Toc98774215" w:history="1">
            <w:r w:rsidR="006337EC" w:rsidRPr="00443533">
              <w:rPr>
                <w:rStyle w:val="Hyperlink"/>
                <w:lang w:val="lv-LV"/>
              </w:rPr>
              <w:t>4.</w:t>
            </w:r>
            <w:r w:rsidR="006337EC">
              <w:rPr>
                <w:rFonts w:eastAsiaTheme="minorEastAsia" w:cstheme="minorBidi"/>
                <w:b w:val="0"/>
                <w:smallCaps w:val="0"/>
                <w:color w:val="auto"/>
                <w:lang w:val="lv-LV" w:eastAsia="lv-LV"/>
              </w:rPr>
              <w:tab/>
            </w:r>
            <w:r w:rsidR="006337EC" w:rsidRPr="00443533">
              <w:rPr>
                <w:rStyle w:val="Hyperlink"/>
                <w:lang w:val="lv-LV"/>
              </w:rPr>
              <w:t>Finanšu aprēķini</w:t>
            </w:r>
            <w:r w:rsidR="006337EC">
              <w:rPr>
                <w:webHidden/>
              </w:rPr>
              <w:tab/>
            </w:r>
            <w:r w:rsidR="006337EC">
              <w:rPr>
                <w:webHidden/>
              </w:rPr>
              <w:fldChar w:fldCharType="begin"/>
            </w:r>
            <w:r w:rsidR="006337EC">
              <w:rPr>
                <w:webHidden/>
              </w:rPr>
              <w:instrText xml:space="preserve"> PAGEREF _Toc98774215 \h </w:instrText>
            </w:r>
            <w:r w:rsidR="006337EC">
              <w:rPr>
                <w:webHidden/>
              </w:rPr>
            </w:r>
            <w:r w:rsidR="006337EC">
              <w:rPr>
                <w:webHidden/>
              </w:rPr>
              <w:fldChar w:fldCharType="separate"/>
            </w:r>
            <w:r w:rsidR="00C27F25">
              <w:rPr>
                <w:webHidden/>
              </w:rPr>
              <w:t>26</w:t>
            </w:r>
            <w:r w:rsidR="006337EC">
              <w:rPr>
                <w:webHidden/>
              </w:rPr>
              <w:fldChar w:fldCharType="end"/>
            </w:r>
          </w:hyperlink>
        </w:p>
        <w:p w14:paraId="207DAB69" w14:textId="77B5A93A" w:rsidR="006337EC" w:rsidRDefault="00BE1865">
          <w:pPr>
            <w:pStyle w:val="TOC2"/>
            <w:tabs>
              <w:tab w:val="left" w:pos="554"/>
              <w:tab w:val="right" w:leader="dot" w:pos="9435"/>
            </w:tabs>
            <w:rPr>
              <w:rFonts w:eastAsiaTheme="minorEastAsia" w:cstheme="minorBidi"/>
              <w:bCs w:val="0"/>
              <w:noProof/>
              <w:lang w:val="lv-LV" w:eastAsia="lv-LV"/>
            </w:rPr>
          </w:pPr>
          <w:hyperlink w:anchor="_Toc98774216" w:history="1">
            <w:r w:rsidR="006337EC" w:rsidRPr="00443533">
              <w:rPr>
                <w:rStyle w:val="Hyperlink"/>
                <w:noProof/>
                <w:lang w:val="lv-LV"/>
              </w:rPr>
              <w:t>4.1.</w:t>
            </w:r>
            <w:r w:rsidR="006337EC">
              <w:rPr>
                <w:rFonts w:eastAsiaTheme="minorEastAsia" w:cstheme="minorBidi"/>
                <w:bCs w:val="0"/>
                <w:noProof/>
                <w:lang w:val="lv-LV" w:eastAsia="lv-LV"/>
              </w:rPr>
              <w:tab/>
            </w:r>
            <w:r w:rsidR="006337EC" w:rsidRPr="00443533">
              <w:rPr>
                <w:rStyle w:val="Hyperlink"/>
                <w:noProof/>
                <w:lang w:val="lv-LV"/>
              </w:rPr>
              <w:t>Aģentūras ieviešanas un uzturēšanas izmaksu aprēķins</w:t>
            </w:r>
            <w:r w:rsidR="006337EC">
              <w:rPr>
                <w:noProof/>
                <w:webHidden/>
              </w:rPr>
              <w:tab/>
            </w:r>
            <w:r w:rsidR="006337EC">
              <w:rPr>
                <w:noProof/>
                <w:webHidden/>
              </w:rPr>
              <w:fldChar w:fldCharType="begin"/>
            </w:r>
            <w:r w:rsidR="006337EC">
              <w:rPr>
                <w:noProof/>
                <w:webHidden/>
              </w:rPr>
              <w:instrText xml:space="preserve"> PAGEREF _Toc98774216 \h </w:instrText>
            </w:r>
            <w:r w:rsidR="006337EC">
              <w:rPr>
                <w:noProof/>
                <w:webHidden/>
              </w:rPr>
            </w:r>
            <w:r w:rsidR="006337EC">
              <w:rPr>
                <w:noProof/>
                <w:webHidden/>
              </w:rPr>
              <w:fldChar w:fldCharType="separate"/>
            </w:r>
            <w:r w:rsidR="00C27F25">
              <w:rPr>
                <w:noProof/>
                <w:webHidden/>
              </w:rPr>
              <w:t>27</w:t>
            </w:r>
            <w:r w:rsidR="006337EC">
              <w:rPr>
                <w:noProof/>
                <w:webHidden/>
              </w:rPr>
              <w:fldChar w:fldCharType="end"/>
            </w:r>
          </w:hyperlink>
        </w:p>
        <w:p w14:paraId="1025ACD2" w14:textId="5D6304A4" w:rsidR="006337EC" w:rsidRDefault="00BE1865">
          <w:pPr>
            <w:pStyle w:val="TOC2"/>
            <w:tabs>
              <w:tab w:val="left" w:pos="554"/>
              <w:tab w:val="right" w:leader="dot" w:pos="9435"/>
            </w:tabs>
            <w:rPr>
              <w:rFonts w:eastAsiaTheme="minorEastAsia" w:cstheme="minorBidi"/>
              <w:bCs w:val="0"/>
              <w:noProof/>
              <w:lang w:val="lv-LV" w:eastAsia="lv-LV"/>
            </w:rPr>
          </w:pPr>
          <w:hyperlink w:anchor="_Toc98774217" w:history="1">
            <w:r w:rsidR="006337EC" w:rsidRPr="00443533">
              <w:rPr>
                <w:rStyle w:val="Hyperlink"/>
                <w:noProof/>
                <w:lang w:val="lv-LV"/>
              </w:rPr>
              <w:t>4.2.</w:t>
            </w:r>
            <w:r w:rsidR="006337EC">
              <w:rPr>
                <w:rFonts w:eastAsiaTheme="minorEastAsia" w:cstheme="minorBidi"/>
                <w:bCs w:val="0"/>
                <w:noProof/>
                <w:lang w:val="lv-LV" w:eastAsia="lv-LV"/>
              </w:rPr>
              <w:tab/>
            </w:r>
            <w:r w:rsidR="006337EC" w:rsidRPr="00443533">
              <w:rPr>
                <w:rStyle w:val="Hyperlink"/>
                <w:noProof/>
                <w:lang w:val="lv-LV"/>
              </w:rPr>
              <w:t>Finansēšanas avoti</w:t>
            </w:r>
            <w:r w:rsidR="006337EC">
              <w:rPr>
                <w:noProof/>
                <w:webHidden/>
              </w:rPr>
              <w:tab/>
            </w:r>
            <w:r w:rsidR="006337EC">
              <w:rPr>
                <w:noProof/>
                <w:webHidden/>
              </w:rPr>
              <w:fldChar w:fldCharType="begin"/>
            </w:r>
            <w:r w:rsidR="006337EC">
              <w:rPr>
                <w:noProof/>
                <w:webHidden/>
              </w:rPr>
              <w:instrText xml:space="preserve"> PAGEREF _Toc98774217 \h </w:instrText>
            </w:r>
            <w:r w:rsidR="006337EC">
              <w:rPr>
                <w:noProof/>
                <w:webHidden/>
              </w:rPr>
            </w:r>
            <w:r w:rsidR="006337EC">
              <w:rPr>
                <w:noProof/>
                <w:webHidden/>
              </w:rPr>
              <w:fldChar w:fldCharType="separate"/>
            </w:r>
            <w:r w:rsidR="00C27F25">
              <w:rPr>
                <w:noProof/>
                <w:webHidden/>
              </w:rPr>
              <w:t>29</w:t>
            </w:r>
            <w:r w:rsidR="006337EC">
              <w:rPr>
                <w:noProof/>
                <w:webHidden/>
              </w:rPr>
              <w:fldChar w:fldCharType="end"/>
            </w:r>
          </w:hyperlink>
        </w:p>
        <w:p w14:paraId="1063A752" w14:textId="6F0B723D" w:rsidR="006337EC" w:rsidRDefault="00BE1865">
          <w:pPr>
            <w:pStyle w:val="TOC2"/>
            <w:tabs>
              <w:tab w:val="left" w:pos="554"/>
              <w:tab w:val="right" w:leader="dot" w:pos="9435"/>
            </w:tabs>
            <w:rPr>
              <w:rFonts w:eastAsiaTheme="minorEastAsia" w:cstheme="minorBidi"/>
              <w:bCs w:val="0"/>
              <w:noProof/>
              <w:lang w:val="lv-LV" w:eastAsia="lv-LV"/>
            </w:rPr>
          </w:pPr>
          <w:hyperlink w:anchor="_Toc98774218" w:history="1">
            <w:r w:rsidR="006337EC" w:rsidRPr="00443533">
              <w:rPr>
                <w:rStyle w:val="Hyperlink"/>
                <w:noProof/>
                <w:lang w:val="lv-LV"/>
              </w:rPr>
              <w:t>4.3.</w:t>
            </w:r>
            <w:r w:rsidR="006337EC">
              <w:rPr>
                <w:rFonts w:eastAsiaTheme="minorEastAsia" w:cstheme="minorBidi"/>
                <w:bCs w:val="0"/>
                <w:noProof/>
                <w:lang w:val="lv-LV" w:eastAsia="lv-LV"/>
              </w:rPr>
              <w:tab/>
            </w:r>
            <w:r w:rsidR="006337EC" w:rsidRPr="00443533">
              <w:rPr>
                <w:rStyle w:val="Hyperlink"/>
                <w:noProof/>
                <w:lang w:val="lv-LV"/>
              </w:rPr>
              <w:t>Drošības rezervju aprites finanšu aprēķins 2023.-2029. gadam</w:t>
            </w:r>
            <w:r w:rsidR="006337EC">
              <w:rPr>
                <w:noProof/>
                <w:webHidden/>
              </w:rPr>
              <w:tab/>
            </w:r>
            <w:r w:rsidR="006337EC">
              <w:rPr>
                <w:noProof/>
                <w:webHidden/>
              </w:rPr>
              <w:fldChar w:fldCharType="begin"/>
            </w:r>
            <w:r w:rsidR="006337EC">
              <w:rPr>
                <w:noProof/>
                <w:webHidden/>
              </w:rPr>
              <w:instrText xml:space="preserve"> PAGEREF _Toc98774218 \h </w:instrText>
            </w:r>
            <w:r w:rsidR="006337EC">
              <w:rPr>
                <w:noProof/>
                <w:webHidden/>
              </w:rPr>
            </w:r>
            <w:r w:rsidR="006337EC">
              <w:rPr>
                <w:noProof/>
                <w:webHidden/>
              </w:rPr>
              <w:fldChar w:fldCharType="separate"/>
            </w:r>
            <w:r w:rsidR="00C27F25">
              <w:rPr>
                <w:noProof/>
                <w:webHidden/>
              </w:rPr>
              <w:t>33</w:t>
            </w:r>
            <w:r w:rsidR="006337EC">
              <w:rPr>
                <w:noProof/>
                <w:webHidden/>
              </w:rPr>
              <w:fldChar w:fldCharType="end"/>
            </w:r>
          </w:hyperlink>
        </w:p>
        <w:p w14:paraId="5A169CA6" w14:textId="6A401327" w:rsidR="006337EC" w:rsidRDefault="00BE1865">
          <w:pPr>
            <w:pStyle w:val="TOC2"/>
            <w:tabs>
              <w:tab w:val="left" w:pos="554"/>
              <w:tab w:val="right" w:leader="dot" w:pos="9435"/>
            </w:tabs>
            <w:rPr>
              <w:rFonts w:eastAsiaTheme="minorEastAsia" w:cstheme="minorBidi"/>
              <w:bCs w:val="0"/>
              <w:noProof/>
              <w:lang w:val="lv-LV" w:eastAsia="lv-LV"/>
            </w:rPr>
          </w:pPr>
          <w:hyperlink w:anchor="_Toc98774219" w:history="1">
            <w:r w:rsidR="006337EC" w:rsidRPr="00443533">
              <w:rPr>
                <w:rStyle w:val="Hyperlink"/>
                <w:noProof/>
                <w:lang w:val="lv-LV"/>
              </w:rPr>
              <w:t>4.4.</w:t>
            </w:r>
            <w:r w:rsidR="006337EC">
              <w:rPr>
                <w:rFonts w:eastAsiaTheme="minorEastAsia" w:cstheme="minorBidi"/>
                <w:bCs w:val="0"/>
                <w:noProof/>
                <w:lang w:val="lv-LV" w:eastAsia="lv-LV"/>
              </w:rPr>
              <w:tab/>
            </w:r>
            <w:r w:rsidR="006337EC" w:rsidRPr="00443533">
              <w:rPr>
                <w:rStyle w:val="Hyperlink"/>
                <w:noProof/>
                <w:lang w:val="lv-LV"/>
              </w:rPr>
              <w:t>Drošības rezervju uzglabāšanas infrastruktūras pakalpojumu iepirkuma un administrēšanas izmaksu aprēķins 2023.-2029. gadam</w:t>
            </w:r>
            <w:r w:rsidR="006337EC">
              <w:rPr>
                <w:noProof/>
                <w:webHidden/>
              </w:rPr>
              <w:tab/>
            </w:r>
            <w:r w:rsidR="006337EC">
              <w:rPr>
                <w:noProof/>
                <w:webHidden/>
              </w:rPr>
              <w:fldChar w:fldCharType="begin"/>
            </w:r>
            <w:r w:rsidR="006337EC">
              <w:rPr>
                <w:noProof/>
                <w:webHidden/>
              </w:rPr>
              <w:instrText xml:space="preserve"> PAGEREF _Toc98774219 \h </w:instrText>
            </w:r>
            <w:r w:rsidR="006337EC">
              <w:rPr>
                <w:noProof/>
                <w:webHidden/>
              </w:rPr>
            </w:r>
            <w:r w:rsidR="006337EC">
              <w:rPr>
                <w:noProof/>
                <w:webHidden/>
              </w:rPr>
              <w:fldChar w:fldCharType="separate"/>
            </w:r>
            <w:r w:rsidR="00C27F25">
              <w:rPr>
                <w:noProof/>
                <w:webHidden/>
              </w:rPr>
              <w:t>37</w:t>
            </w:r>
            <w:r w:rsidR="006337EC">
              <w:rPr>
                <w:noProof/>
                <w:webHidden/>
              </w:rPr>
              <w:fldChar w:fldCharType="end"/>
            </w:r>
          </w:hyperlink>
        </w:p>
        <w:p w14:paraId="30847E6C" w14:textId="1FEFC403" w:rsidR="006337EC" w:rsidRDefault="00BE1865">
          <w:pPr>
            <w:pStyle w:val="TOC2"/>
            <w:tabs>
              <w:tab w:val="left" w:pos="554"/>
              <w:tab w:val="right" w:leader="dot" w:pos="9435"/>
            </w:tabs>
            <w:rPr>
              <w:rFonts w:eastAsiaTheme="minorEastAsia" w:cstheme="minorBidi"/>
              <w:bCs w:val="0"/>
              <w:noProof/>
              <w:lang w:val="lv-LV" w:eastAsia="lv-LV"/>
            </w:rPr>
          </w:pPr>
          <w:hyperlink w:anchor="_Toc98774220" w:history="1">
            <w:r w:rsidR="006337EC" w:rsidRPr="00443533">
              <w:rPr>
                <w:rStyle w:val="Hyperlink"/>
                <w:noProof/>
                <w:lang w:val="lv-LV"/>
              </w:rPr>
              <w:t>4.5.</w:t>
            </w:r>
            <w:r w:rsidR="006337EC">
              <w:rPr>
                <w:rFonts w:eastAsiaTheme="minorEastAsia" w:cstheme="minorBidi"/>
                <w:bCs w:val="0"/>
                <w:noProof/>
                <w:lang w:val="lv-LV" w:eastAsia="lv-LV"/>
              </w:rPr>
              <w:tab/>
            </w:r>
            <w:r w:rsidR="006337EC" w:rsidRPr="00443533">
              <w:rPr>
                <w:rStyle w:val="Hyperlink"/>
                <w:noProof/>
                <w:lang w:val="lv-LV"/>
              </w:rPr>
              <w:t>Aģentūras peļņas un zaudējumu aprēķins un bilance 2023.-2029. gadam</w:t>
            </w:r>
            <w:r w:rsidR="006337EC">
              <w:rPr>
                <w:noProof/>
                <w:webHidden/>
              </w:rPr>
              <w:tab/>
            </w:r>
            <w:r w:rsidR="006337EC">
              <w:rPr>
                <w:noProof/>
                <w:webHidden/>
              </w:rPr>
              <w:fldChar w:fldCharType="begin"/>
            </w:r>
            <w:r w:rsidR="006337EC">
              <w:rPr>
                <w:noProof/>
                <w:webHidden/>
              </w:rPr>
              <w:instrText xml:space="preserve"> PAGEREF _Toc98774220 \h </w:instrText>
            </w:r>
            <w:r w:rsidR="006337EC">
              <w:rPr>
                <w:noProof/>
                <w:webHidden/>
              </w:rPr>
            </w:r>
            <w:r w:rsidR="006337EC">
              <w:rPr>
                <w:noProof/>
                <w:webHidden/>
              </w:rPr>
              <w:fldChar w:fldCharType="separate"/>
            </w:r>
            <w:r w:rsidR="00C27F25">
              <w:rPr>
                <w:noProof/>
                <w:webHidden/>
              </w:rPr>
              <w:t>40</w:t>
            </w:r>
            <w:r w:rsidR="006337EC">
              <w:rPr>
                <w:noProof/>
                <w:webHidden/>
              </w:rPr>
              <w:fldChar w:fldCharType="end"/>
            </w:r>
          </w:hyperlink>
        </w:p>
        <w:p w14:paraId="00000019" w14:textId="65F2C136" w:rsidR="007F09CB" w:rsidRPr="0053072A" w:rsidRDefault="00DB28EC">
          <w:pPr>
            <w:tabs>
              <w:tab w:val="right" w:pos="9443"/>
            </w:tabs>
            <w:spacing w:before="60" w:after="80"/>
            <w:ind w:left="360"/>
            <w:rPr>
              <w:lang w:val="lv-LV"/>
            </w:rPr>
          </w:pPr>
          <w:r w:rsidRPr="0053072A">
            <w:rPr>
              <w:lang w:val="lv-LV"/>
            </w:rPr>
            <w:fldChar w:fldCharType="end"/>
          </w:r>
        </w:p>
      </w:sdtContent>
    </w:sdt>
    <w:p w14:paraId="0000001A" w14:textId="77777777" w:rsidR="007F09CB" w:rsidRPr="0053072A" w:rsidRDefault="00DB28EC">
      <w:pPr>
        <w:rPr>
          <w:lang w:val="lv-LV"/>
        </w:rPr>
      </w:pPr>
      <w:r w:rsidRPr="0053072A">
        <w:rPr>
          <w:lang w:val="lv-LV"/>
        </w:rPr>
        <w:br w:type="page"/>
      </w:r>
    </w:p>
    <w:p w14:paraId="0000001B" w14:textId="77777777" w:rsidR="007F09CB" w:rsidRPr="0053072A" w:rsidRDefault="00DB28EC">
      <w:pPr>
        <w:pStyle w:val="Heading1"/>
        <w:rPr>
          <w:b w:val="0"/>
          <w:color w:val="000000"/>
          <w:sz w:val="22"/>
          <w:szCs w:val="22"/>
          <w:lang w:val="lv-LV"/>
        </w:rPr>
      </w:pPr>
      <w:bookmarkStart w:id="1" w:name="_Toc98774200"/>
      <w:r w:rsidRPr="0053072A">
        <w:rPr>
          <w:lang w:val="lv-LV"/>
        </w:rPr>
        <w:lastRenderedPageBreak/>
        <w:t>Saīsinājumi</w:t>
      </w:r>
      <w:bookmarkEnd w:id="1"/>
    </w:p>
    <w:tbl>
      <w:tblPr>
        <w:tblStyle w:val="afa"/>
        <w:tblW w:w="9450"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600" w:firstRow="0" w:lastRow="0" w:firstColumn="0" w:lastColumn="0" w:noHBand="1" w:noVBand="1"/>
      </w:tblPr>
      <w:tblGrid>
        <w:gridCol w:w="2155"/>
        <w:gridCol w:w="7295"/>
      </w:tblGrid>
      <w:tr w:rsidR="007F09CB" w:rsidRPr="0053072A" w14:paraId="3927FBD1" w14:textId="77777777">
        <w:tc>
          <w:tcPr>
            <w:tcW w:w="2155" w:type="dxa"/>
            <w:shd w:val="clear" w:color="auto" w:fill="auto"/>
            <w:tcMar>
              <w:top w:w="100" w:type="dxa"/>
              <w:left w:w="100" w:type="dxa"/>
              <w:bottom w:w="100" w:type="dxa"/>
              <w:right w:w="100" w:type="dxa"/>
            </w:tcMar>
          </w:tcPr>
          <w:p w14:paraId="0000001C" w14:textId="77777777" w:rsidR="007F09CB" w:rsidRPr="0053072A" w:rsidRDefault="00DB28EC">
            <w:pPr>
              <w:widowControl w:val="0"/>
              <w:spacing w:after="0"/>
              <w:jc w:val="left"/>
              <w:rPr>
                <w:b w:val="0"/>
                <w:lang w:val="lv-LV"/>
              </w:rPr>
            </w:pPr>
            <w:r w:rsidRPr="0053072A">
              <w:rPr>
                <w:b w:val="0"/>
                <w:lang w:val="lv-LV"/>
              </w:rPr>
              <w:t>BVKB</w:t>
            </w:r>
          </w:p>
        </w:tc>
        <w:tc>
          <w:tcPr>
            <w:tcW w:w="7295" w:type="dxa"/>
            <w:shd w:val="clear" w:color="auto" w:fill="auto"/>
            <w:tcMar>
              <w:top w:w="100" w:type="dxa"/>
              <w:left w:w="100" w:type="dxa"/>
              <w:bottom w:w="100" w:type="dxa"/>
              <w:right w:w="100" w:type="dxa"/>
            </w:tcMar>
          </w:tcPr>
          <w:p w14:paraId="0000001D" w14:textId="77777777" w:rsidR="007F09CB" w:rsidRPr="0053072A" w:rsidRDefault="00DB28EC">
            <w:pPr>
              <w:widowControl w:val="0"/>
              <w:spacing w:after="0"/>
              <w:jc w:val="left"/>
              <w:rPr>
                <w:b w:val="0"/>
                <w:lang w:val="lv-LV"/>
              </w:rPr>
            </w:pPr>
            <w:r w:rsidRPr="0053072A">
              <w:rPr>
                <w:b w:val="0"/>
                <w:lang w:val="lv-LV"/>
              </w:rPr>
              <w:t>Būvniecības valsts kontroles birojs</w:t>
            </w:r>
          </w:p>
        </w:tc>
      </w:tr>
      <w:tr w:rsidR="007F09CB" w:rsidRPr="0011743F" w14:paraId="4DF455AB" w14:textId="77777777">
        <w:tc>
          <w:tcPr>
            <w:tcW w:w="2155" w:type="dxa"/>
            <w:shd w:val="clear" w:color="auto" w:fill="auto"/>
            <w:tcMar>
              <w:top w:w="100" w:type="dxa"/>
              <w:left w:w="100" w:type="dxa"/>
              <w:bottom w:w="100" w:type="dxa"/>
              <w:right w:w="100" w:type="dxa"/>
            </w:tcMar>
          </w:tcPr>
          <w:p w14:paraId="0000001E" w14:textId="77777777" w:rsidR="007F09CB" w:rsidRPr="0053072A" w:rsidRDefault="00DB28EC">
            <w:pPr>
              <w:widowControl w:val="0"/>
              <w:spacing w:after="0"/>
              <w:jc w:val="left"/>
              <w:rPr>
                <w:b w:val="0"/>
                <w:lang w:val="lv-LV"/>
              </w:rPr>
            </w:pPr>
            <w:r w:rsidRPr="0053072A">
              <w:rPr>
                <w:b w:val="0"/>
                <w:lang w:val="lv-LV"/>
              </w:rPr>
              <w:t>Deloitte pētījums</w:t>
            </w:r>
          </w:p>
        </w:tc>
        <w:tc>
          <w:tcPr>
            <w:tcW w:w="7295" w:type="dxa"/>
            <w:shd w:val="clear" w:color="auto" w:fill="auto"/>
            <w:tcMar>
              <w:top w:w="100" w:type="dxa"/>
              <w:left w:w="100" w:type="dxa"/>
              <w:bottom w:w="100" w:type="dxa"/>
              <w:right w:w="100" w:type="dxa"/>
            </w:tcMar>
          </w:tcPr>
          <w:p w14:paraId="0000001F" w14:textId="77777777" w:rsidR="007F09CB" w:rsidRPr="0053072A" w:rsidRDefault="00DB28EC">
            <w:pPr>
              <w:widowControl w:val="0"/>
              <w:spacing w:after="0"/>
              <w:jc w:val="left"/>
              <w:rPr>
                <w:b w:val="0"/>
                <w:lang w:val="lv-LV"/>
              </w:rPr>
            </w:pPr>
            <w:r w:rsidRPr="0053072A">
              <w:rPr>
                <w:b w:val="0"/>
                <w:lang w:val="lv-LV"/>
              </w:rPr>
              <w:t>Deloitte Advisory s.r.o 2020. gadā izstrādātais pētījums par naftas un naftas produktu drošības rezervju cenas veidošanos un priekšlikumu izstrāde labākajam risinājumam valsts naftas produktu drošības rezervju izveidei</w:t>
            </w:r>
          </w:p>
        </w:tc>
      </w:tr>
      <w:tr w:rsidR="007F09CB" w:rsidRPr="0011743F" w14:paraId="31876BAC" w14:textId="77777777">
        <w:tc>
          <w:tcPr>
            <w:tcW w:w="2155" w:type="dxa"/>
            <w:shd w:val="clear" w:color="auto" w:fill="auto"/>
            <w:tcMar>
              <w:top w:w="100" w:type="dxa"/>
              <w:left w:w="100" w:type="dxa"/>
              <w:bottom w:w="100" w:type="dxa"/>
              <w:right w:w="100" w:type="dxa"/>
            </w:tcMar>
          </w:tcPr>
          <w:p w14:paraId="00000020" w14:textId="77777777" w:rsidR="007F09CB" w:rsidRPr="0053072A" w:rsidRDefault="00DB28EC">
            <w:pPr>
              <w:widowControl w:val="0"/>
              <w:spacing w:after="0"/>
              <w:jc w:val="left"/>
              <w:rPr>
                <w:b w:val="0"/>
                <w:lang w:val="lv-LV"/>
              </w:rPr>
            </w:pPr>
            <w:r w:rsidRPr="0053072A">
              <w:rPr>
                <w:b w:val="0"/>
                <w:lang w:val="lv-LV"/>
              </w:rPr>
              <w:t>Direktīva 2009/119/EK</w:t>
            </w:r>
          </w:p>
        </w:tc>
        <w:tc>
          <w:tcPr>
            <w:tcW w:w="7295" w:type="dxa"/>
            <w:shd w:val="clear" w:color="auto" w:fill="auto"/>
            <w:tcMar>
              <w:top w:w="100" w:type="dxa"/>
              <w:left w:w="100" w:type="dxa"/>
              <w:bottom w:w="100" w:type="dxa"/>
              <w:right w:w="100" w:type="dxa"/>
            </w:tcMar>
          </w:tcPr>
          <w:p w14:paraId="00000021" w14:textId="77777777" w:rsidR="007F09CB" w:rsidRPr="0053072A" w:rsidRDefault="00DB28EC">
            <w:pPr>
              <w:widowControl w:val="0"/>
              <w:spacing w:after="0"/>
              <w:jc w:val="left"/>
              <w:rPr>
                <w:b w:val="0"/>
                <w:lang w:val="lv-LV"/>
              </w:rPr>
            </w:pPr>
            <w:r w:rsidRPr="0053072A">
              <w:rPr>
                <w:b w:val="0"/>
                <w:lang w:val="lv-LV"/>
              </w:rPr>
              <w:t>Padomes 2009. gada 14. septembra Direktīva 2009/119/EK, ar ko dalībvalstīm tiek uzlikts pienākums uzturēt jēlnaftas un/vai naftas produktu obligātas rezerves</w:t>
            </w:r>
          </w:p>
        </w:tc>
      </w:tr>
      <w:tr w:rsidR="007F09CB" w:rsidRPr="0053072A" w14:paraId="333A6433" w14:textId="77777777">
        <w:tc>
          <w:tcPr>
            <w:tcW w:w="2155" w:type="dxa"/>
            <w:shd w:val="clear" w:color="auto" w:fill="auto"/>
            <w:tcMar>
              <w:top w:w="100" w:type="dxa"/>
              <w:left w:w="100" w:type="dxa"/>
              <w:bottom w:w="100" w:type="dxa"/>
              <w:right w:w="100" w:type="dxa"/>
            </w:tcMar>
          </w:tcPr>
          <w:p w14:paraId="00000022" w14:textId="77777777" w:rsidR="007F09CB" w:rsidRPr="0053072A" w:rsidRDefault="00DB28EC">
            <w:pPr>
              <w:widowControl w:val="0"/>
              <w:spacing w:after="0"/>
              <w:jc w:val="left"/>
              <w:rPr>
                <w:b w:val="0"/>
                <w:lang w:val="lv-LV"/>
              </w:rPr>
            </w:pPr>
            <w:r w:rsidRPr="0053072A">
              <w:rPr>
                <w:b w:val="0"/>
                <w:lang w:val="lv-LV"/>
              </w:rPr>
              <w:t>Drošības rezerves</w:t>
            </w:r>
          </w:p>
        </w:tc>
        <w:tc>
          <w:tcPr>
            <w:tcW w:w="7295" w:type="dxa"/>
            <w:shd w:val="clear" w:color="auto" w:fill="auto"/>
            <w:tcMar>
              <w:top w:w="100" w:type="dxa"/>
              <w:left w:w="100" w:type="dxa"/>
              <w:bottom w:w="100" w:type="dxa"/>
              <w:right w:w="100" w:type="dxa"/>
            </w:tcMar>
          </w:tcPr>
          <w:p w14:paraId="00000023" w14:textId="77777777" w:rsidR="007F09CB" w:rsidRPr="0053072A" w:rsidRDefault="00DB28EC">
            <w:pPr>
              <w:widowControl w:val="0"/>
              <w:spacing w:after="0"/>
              <w:jc w:val="left"/>
              <w:rPr>
                <w:b w:val="0"/>
                <w:lang w:val="lv-LV"/>
              </w:rPr>
            </w:pPr>
            <w:r w:rsidRPr="0053072A">
              <w:rPr>
                <w:b w:val="0"/>
                <w:lang w:val="lv-LV"/>
              </w:rPr>
              <w:t>Valsts naftas produktu drošības rezerves</w:t>
            </w:r>
          </w:p>
        </w:tc>
      </w:tr>
      <w:tr w:rsidR="0053072A" w:rsidRPr="0053072A" w14:paraId="30B1E7BF" w14:textId="77777777">
        <w:tc>
          <w:tcPr>
            <w:tcW w:w="2155" w:type="dxa"/>
            <w:shd w:val="clear" w:color="auto" w:fill="auto"/>
            <w:tcMar>
              <w:top w:w="100" w:type="dxa"/>
              <w:left w:w="100" w:type="dxa"/>
              <w:bottom w:w="100" w:type="dxa"/>
              <w:right w:w="100" w:type="dxa"/>
            </w:tcMar>
          </w:tcPr>
          <w:p w14:paraId="170B2799" w14:textId="0D027A7F" w:rsidR="0053072A" w:rsidRPr="0053072A" w:rsidRDefault="0053072A">
            <w:pPr>
              <w:widowControl w:val="0"/>
              <w:spacing w:after="0"/>
              <w:jc w:val="left"/>
              <w:rPr>
                <w:lang w:val="lv-LV"/>
              </w:rPr>
            </w:pPr>
            <w:r w:rsidRPr="0053072A">
              <w:rPr>
                <w:b w:val="0"/>
                <w:lang w:val="lv-LV"/>
              </w:rPr>
              <w:t>EM</w:t>
            </w:r>
          </w:p>
        </w:tc>
        <w:tc>
          <w:tcPr>
            <w:tcW w:w="7295" w:type="dxa"/>
            <w:shd w:val="clear" w:color="auto" w:fill="auto"/>
            <w:tcMar>
              <w:top w:w="100" w:type="dxa"/>
              <w:left w:w="100" w:type="dxa"/>
              <w:bottom w:w="100" w:type="dxa"/>
              <w:right w:w="100" w:type="dxa"/>
            </w:tcMar>
          </w:tcPr>
          <w:p w14:paraId="21FAE1B7" w14:textId="467A0099" w:rsidR="0053072A" w:rsidRPr="0053072A" w:rsidRDefault="0053072A">
            <w:pPr>
              <w:widowControl w:val="0"/>
              <w:spacing w:after="0"/>
              <w:jc w:val="left"/>
              <w:rPr>
                <w:lang w:val="lv-LV"/>
              </w:rPr>
            </w:pPr>
            <w:r w:rsidRPr="0053072A">
              <w:rPr>
                <w:b w:val="0"/>
                <w:lang w:val="lv-LV"/>
              </w:rPr>
              <w:t>Ekonomikas ministrija</w:t>
            </w:r>
          </w:p>
        </w:tc>
      </w:tr>
      <w:tr w:rsidR="007F09CB" w:rsidRPr="0053072A" w14:paraId="6222D3A3" w14:textId="77777777">
        <w:tc>
          <w:tcPr>
            <w:tcW w:w="2155" w:type="dxa"/>
            <w:shd w:val="clear" w:color="auto" w:fill="auto"/>
            <w:tcMar>
              <w:top w:w="100" w:type="dxa"/>
              <w:left w:w="100" w:type="dxa"/>
              <w:bottom w:w="100" w:type="dxa"/>
              <w:right w:w="100" w:type="dxa"/>
            </w:tcMar>
          </w:tcPr>
          <w:p w14:paraId="00000024" w14:textId="77777777" w:rsidR="007F09CB" w:rsidRPr="0053072A" w:rsidRDefault="00DB28EC">
            <w:pPr>
              <w:widowControl w:val="0"/>
              <w:spacing w:after="0"/>
              <w:jc w:val="left"/>
              <w:rPr>
                <w:b w:val="0"/>
                <w:lang w:val="lv-LV"/>
              </w:rPr>
            </w:pPr>
            <w:r w:rsidRPr="0053072A">
              <w:rPr>
                <w:b w:val="0"/>
                <w:lang w:val="lv-LV"/>
              </w:rPr>
              <w:t>ES</w:t>
            </w:r>
          </w:p>
        </w:tc>
        <w:tc>
          <w:tcPr>
            <w:tcW w:w="7295" w:type="dxa"/>
            <w:shd w:val="clear" w:color="auto" w:fill="auto"/>
            <w:tcMar>
              <w:top w:w="100" w:type="dxa"/>
              <w:left w:w="100" w:type="dxa"/>
              <w:bottom w:w="100" w:type="dxa"/>
              <w:right w:w="100" w:type="dxa"/>
            </w:tcMar>
          </w:tcPr>
          <w:p w14:paraId="00000025" w14:textId="77777777" w:rsidR="007F09CB" w:rsidRPr="0053072A" w:rsidRDefault="00DB28EC">
            <w:pPr>
              <w:widowControl w:val="0"/>
              <w:spacing w:after="0"/>
              <w:jc w:val="left"/>
              <w:rPr>
                <w:b w:val="0"/>
                <w:lang w:val="lv-LV"/>
              </w:rPr>
            </w:pPr>
            <w:r w:rsidRPr="0053072A">
              <w:rPr>
                <w:b w:val="0"/>
                <w:lang w:val="lv-LV"/>
              </w:rPr>
              <w:t>Eiropas Savienība</w:t>
            </w:r>
          </w:p>
        </w:tc>
      </w:tr>
      <w:tr w:rsidR="007F09CB" w:rsidRPr="0053072A" w14:paraId="6D1E0F9F" w14:textId="77777777">
        <w:tc>
          <w:tcPr>
            <w:tcW w:w="2155" w:type="dxa"/>
            <w:shd w:val="clear" w:color="auto" w:fill="auto"/>
            <w:tcMar>
              <w:top w:w="100" w:type="dxa"/>
              <w:left w:w="100" w:type="dxa"/>
              <w:bottom w:w="100" w:type="dxa"/>
              <w:right w:w="100" w:type="dxa"/>
            </w:tcMar>
          </w:tcPr>
          <w:p w14:paraId="00000026" w14:textId="77777777" w:rsidR="007F09CB" w:rsidRPr="0053072A" w:rsidRDefault="00DB28EC">
            <w:pPr>
              <w:widowControl w:val="0"/>
              <w:spacing w:after="0"/>
              <w:jc w:val="left"/>
              <w:rPr>
                <w:b w:val="0"/>
                <w:lang w:val="lv-LV"/>
              </w:rPr>
            </w:pPr>
            <w:r w:rsidRPr="0053072A">
              <w:rPr>
                <w:b w:val="0"/>
                <w:lang w:val="lv-LV"/>
              </w:rPr>
              <w:t>EUR</w:t>
            </w:r>
          </w:p>
        </w:tc>
        <w:tc>
          <w:tcPr>
            <w:tcW w:w="7295" w:type="dxa"/>
            <w:shd w:val="clear" w:color="auto" w:fill="auto"/>
            <w:tcMar>
              <w:top w:w="100" w:type="dxa"/>
              <w:left w:w="100" w:type="dxa"/>
              <w:bottom w:w="100" w:type="dxa"/>
              <w:right w:w="100" w:type="dxa"/>
            </w:tcMar>
          </w:tcPr>
          <w:p w14:paraId="00000027" w14:textId="77777777" w:rsidR="007F09CB" w:rsidRPr="0053072A" w:rsidRDefault="00DB28EC">
            <w:pPr>
              <w:widowControl w:val="0"/>
              <w:spacing w:after="0"/>
              <w:jc w:val="left"/>
              <w:rPr>
                <w:b w:val="0"/>
                <w:lang w:val="lv-LV"/>
              </w:rPr>
            </w:pPr>
            <w:r w:rsidRPr="0053072A">
              <w:rPr>
                <w:b w:val="0"/>
                <w:lang w:val="lv-LV"/>
              </w:rPr>
              <w:t>Eiro</w:t>
            </w:r>
          </w:p>
        </w:tc>
      </w:tr>
      <w:tr w:rsidR="007F09CB" w:rsidRPr="0053072A" w14:paraId="354A26D2" w14:textId="77777777">
        <w:tc>
          <w:tcPr>
            <w:tcW w:w="2155" w:type="dxa"/>
            <w:shd w:val="clear" w:color="auto" w:fill="auto"/>
            <w:tcMar>
              <w:top w:w="100" w:type="dxa"/>
              <w:left w:w="100" w:type="dxa"/>
              <w:bottom w:w="100" w:type="dxa"/>
              <w:right w:w="100" w:type="dxa"/>
            </w:tcMar>
          </w:tcPr>
          <w:p w14:paraId="00000028" w14:textId="77777777" w:rsidR="007F09CB" w:rsidRPr="0053072A" w:rsidRDefault="00DB28EC">
            <w:pPr>
              <w:widowControl w:val="0"/>
              <w:spacing w:after="0"/>
              <w:jc w:val="left"/>
              <w:rPr>
                <w:b w:val="0"/>
                <w:lang w:val="lv-LV"/>
              </w:rPr>
            </w:pPr>
            <w:r w:rsidRPr="0053072A">
              <w:rPr>
                <w:b w:val="0"/>
                <w:lang w:val="lv-LV"/>
              </w:rPr>
              <w:t>IKP</w:t>
            </w:r>
          </w:p>
        </w:tc>
        <w:tc>
          <w:tcPr>
            <w:tcW w:w="7295" w:type="dxa"/>
            <w:shd w:val="clear" w:color="auto" w:fill="auto"/>
            <w:tcMar>
              <w:top w:w="100" w:type="dxa"/>
              <w:left w:w="100" w:type="dxa"/>
              <w:bottom w:w="100" w:type="dxa"/>
              <w:right w:w="100" w:type="dxa"/>
            </w:tcMar>
          </w:tcPr>
          <w:p w14:paraId="00000029" w14:textId="77777777" w:rsidR="007F09CB" w:rsidRPr="0053072A" w:rsidRDefault="00DB28EC">
            <w:pPr>
              <w:widowControl w:val="0"/>
              <w:spacing w:after="0"/>
              <w:jc w:val="left"/>
              <w:rPr>
                <w:b w:val="0"/>
                <w:lang w:val="lv-LV"/>
              </w:rPr>
            </w:pPr>
            <w:r w:rsidRPr="0053072A">
              <w:rPr>
                <w:b w:val="0"/>
                <w:lang w:val="lv-LV"/>
              </w:rPr>
              <w:t>Iekšzemes kopprodukts</w:t>
            </w:r>
          </w:p>
        </w:tc>
      </w:tr>
      <w:tr w:rsidR="007F09CB" w:rsidRPr="0053072A" w14:paraId="78C01B08" w14:textId="77777777">
        <w:tc>
          <w:tcPr>
            <w:tcW w:w="2155" w:type="dxa"/>
            <w:shd w:val="clear" w:color="auto" w:fill="auto"/>
            <w:tcMar>
              <w:top w:w="100" w:type="dxa"/>
              <w:left w:w="100" w:type="dxa"/>
              <w:bottom w:w="100" w:type="dxa"/>
              <w:right w:w="100" w:type="dxa"/>
            </w:tcMar>
          </w:tcPr>
          <w:p w14:paraId="0000002A" w14:textId="77777777" w:rsidR="007F09CB" w:rsidRPr="0053072A" w:rsidRDefault="00DB28EC">
            <w:pPr>
              <w:widowControl w:val="0"/>
              <w:spacing w:after="0"/>
              <w:jc w:val="left"/>
              <w:rPr>
                <w:b w:val="0"/>
                <w:lang w:val="lv-LV"/>
              </w:rPr>
            </w:pPr>
            <w:r w:rsidRPr="0053072A">
              <w:rPr>
                <w:b w:val="0"/>
                <w:lang w:val="lv-LV"/>
              </w:rPr>
              <w:t>m</w:t>
            </w:r>
            <w:r w:rsidRPr="0053072A">
              <w:rPr>
                <w:b w:val="0"/>
                <w:vertAlign w:val="superscript"/>
                <w:lang w:val="lv-LV"/>
              </w:rPr>
              <w:t>3</w:t>
            </w:r>
          </w:p>
        </w:tc>
        <w:tc>
          <w:tcPr>
            <w:tcW w:w="7295" w:type="dxa"/>
            <w:shd w:val="clear" w:color="auto" w:fill="auto"/>
            <w:tcMar>
              <w:top w:w="100" w:type="dxa"/>
              <w:left w:w="100" w:type="dxa"/>
              <w:bottom w:w="100" w:type="dxa"/>
              <w:right w:w="100" w:type="dxa"/>
            </w:tcMar>
          </w:tcPr>
          <w:p w14:paraId="0000002B" w14:textId="77777777" w:rsidR="007F09CB" w:rsidRPr="0053072A" w:rsidRDefault="00DB28EC">
            <w:pPr>
              <w:widowControl w:val="0"/>
              <w:spacing w:after="0"/>
              <w:jc w:val="left"/>
              <w:rPr>
                <w:b w:val="0"/>
                <w:lang w:val="lv-LV"/>
              </w:rPr>
            </w:pPr>
            <w:r w:rsidRPr="0053072A">
              <w:rPr>
                <w:b w:val="0"/>
                <w:lang w:val="lv-LV"/>
              </w:rPr>
              <w:t>Kubikmetri</w:t>
            </w:r>
          </w:p>
        </w:tc>
      </w:tr>
      <w:tr w:rsidR="007F09CB" w:rsidRPr="0053072A" w14:paraId="7CD9EC73" w14:textId="77777777">
        <w:tc>
          <w:tcPr>
            <w:tcW w:w="2155" w:type="dxa"/>
            <w:shd w:val="clear" w:color="auto" w:fill="auto"/>
            <w:tcMar>
              <w:top w:w="100" w:type="dxa"/>
              <w:left w:w="100" w:type="dxa"/>
              <w:bottom w:w="100" w:type="dxa"/>
              <w:right w:w="100" w:type="dxa"/>
            </w:tcMar>
          </w:tcPr>
          <w:p w14:paraId="0000002C" w14:textId="77777777" w:rsidR="007F09CB" w:rsidRPr="0053072A" w:rsidRDefault="00DB28EC">
            <w:pPr>
              <w:widowControl w:val="0"/>
              <w:spacing w:after="0"/>
              <w:jc w:val="left"/>
              <w:rPr>
                <w:b w:val="0"/>
                <w:lang w:val="lv-LV"/>
              </w:rPr>
            </w:pPr>
            <w:r w:rsidRPr="0053072A">
              <w:rPr>
                <w:b w:val="0"/>
                <w:lang w:val="lv-LV"/>
              </w:rPr>
              <w:t>mb/d</w:t>
            </w:r>
          </w:p>
        </w:tc>
        <w:tc>
          <w:tcPr>
            <w:tcW w:w="7295" w:type="dxa"/>
            <w:shd w:val="clear" w:color="auto" w:fill="auto"/>
            <w:tcMar>
              <w:top w:w="100" w:type="dxa"/>
              <w:left w:w="100" w:type="dxa"/>
              <w:bottom w:w="100" w:type="dxa"/>
              <w:right w:w="100" w:type="dxa"/>
            </w:tcMar>
          </w:tcPr>
          <w:p w14:paraId="0000002D" w14:textId="77777777" w:rsidR="007F09CB" w:rsidRPr="0053072A" w:rsidRDefault="00DB28EC">
            <w:pPr>
              <w:widowControl w:val="0"/>
              <w:spacing w:after="0"/>
              <w:jc w:val="left"/>
              <w:rPr>
                <w:b w:val="0"/>
                <w:lang w:val="lv-LV"/>
              </w:rPr>
            </w:pPr>
            <w:r w:rsidRPr="0053072A">
              <w:rPr>
                <w:b w:val="0"/>
                <w:lang w:val="lv-LV"/>
              </w:rPr>
              <w:t>Miljoni barelu dienā</w:t>
            </w:r>
          </w:p>
        </w:tc>
      </w:tr>
      <w:tr w:rsidR="007F09CB" w:rsidRPr="0053072A" w14:paraId="4F51035E" w14:textId="77777777">
        <w:tc>
          <w:tcPr>
            <w:tcW w:w="2155" w:type="dxa"/>
            <w:shd w:val="clear" w:color="auto" w:fill="auto"/>
            <w:tcMar>
              <w:top w:w="100" w:type="dxa"/>
              <w:left w:w="100" w:type="dxa"/>
              <w:bottom w:w="100" w:type="dxa"/>
              <w:right w:w="100" w:type="dxa"/>
            </w:tcMar>
          </w:tcPr>
          <w:p w14:paraId="0000002E" w14:textId="77777777" w:rsidR="007F09CB" w:rsidRPr="0053072A" w:rsidRDefault="00DB28EC">
            <w:pPr>
              <w:widowControl w:val="0"/>
              <w:spacing w:after="0"/>
              <w:jc w:val="left"/>
              <w:rPr>
                <w:b w:val="0"/>
                <w:lang w:val="lv-LV"/>
              </w:rPr>
            </w:pPr>
            <w:r w:rsidRPr="0053072A">
              <w:rPr>
                <w:b w:val="0"/>
                <w:lang w:val="lv-LV"/>
              </w:rPr>
              <w:t>MK</w:t>
            </w:r>
          </w:p>
        </w:tc>
        <w:tc>
          <w:tcPr>
            <w:tcW w:w="7295" w:type="dxa"/>
            <w:shd w:val="clear" w:color="auto" w:fill="auto"/>
            <w:tcMar>
              <w:top w:w="100" w:type="dxa"/>
              <w:left w:w="100" w:type="dxa"/>
              <w:bottom w:w="100" w:type="dxa"/>
              <w:right w:w="100" w:type="dxa"/>
            </w:tcMar>
          </w:tcPr>
          <w:p w14:paraId="0000002F" w14:textId="77777777" w:rsidR="007F09CB" w:rsidRPr="0053072A" w:rsidRDefault="00DB28EC">
            <w:pPr>
              <w:widowControl w:val="0"/>
              <w:spacing w:after="0"/>
              <w:jc w:val="left"/>
              <w:rPr>
                <w:b w:val="0"/>
                <w:lang w:val="lv-LV"/>
              </w:rPr>
            </w:pPr>
            <w:r w:rsidRPr="0053072A">
              <w:rPr>
                <w:b w:val="0"/>
                <w:lang w:val="lv-LV"/>
              </w:rPr>
              <w:t>Ministru kabinets</w:t>
            </w:r>
          </w:p>
        </w:tc>
      </w:tr>
      <w:tr w:rsidR="007F09CB" w:rsidRPr="0053072A" w14:paraId="71FB1645" w14:textId="77777777">
        <w:trPr>
          <w:trHeight w:val="19"/>
        </w:trPr>
        <w:tc>
          <w:tcPr>
            <w:tcW w:w="2155" w:type="dxa"/>
            <w:shd w:val="clear" w:color="auto" w:fill="auto"/>
            <w:tcMar>
              <w:top w:w="100" w:type="dxa"/>
              <w:left w:w="100" w:type="dxa"/>
              <w:bottom w:w="100" w:type="dxa"/>
              <w:right w:w="100" w:type="dxa"/>
            </w:tcMar>
          </w:tcPr>
          <w:p w14:paraId="00000030" w14:textId="77777777" w:rsidR="007F09CB" w:rsidRPr="0053072A" w:rsidRDefault="00DB28EC">
            <w:pPr>
              <w:widowControl w:val="0"/>
              <w:spacing w:after="0"/>
              <w:jc w:val="left"/>
              <w:rPr>
                <w:b w:val="0"/>
                <w:lang w:val="lv-LV"/>
              </w:rPr>
            </w:pPr>
            <w:r w:rsidRPr="0053072A">
              <w:rPr>
                <w:b w:val="0"/>
                <w:lang w:val="lv-LV"/>
              </w:rPr>
              <w:t>OECD</w:t>
            </w:r>
          </w:p>
        </w:tc>
        <w:tc>
          <w:tcPr>
            <w:tcW w:w="7295" w:type="dxa"/>
            <w:shd w:val="clear" w:color="auto" w:fill="auto"/>
            <w:tcMar>
              <w:top w:w="100" w:type="dxa"/>
              <w:left w:w="100" w:type="dxa"/>
              <w:bottom w:w="100" w:type="dxa"/>
              <w:right w:w="100" w:type="dxa"/>
            </w:tcMar>
          </w:tcPr>
          <w:p w14:paraId="00000031" w14:textId="77777777" w:rsidR="007F09CB" w:rsidRPr="0053072A" w:rsidRDefault="00DB28EC">
            <w:pPr>
              <w:widowControl w:val="0"/>
              <w:spacing w:after="0"/>
              <w:jc w:val="left"/>
              <w:rPr>
                <w:b w:val="0"/>
                <w:lang w:val="lv-LV"/>
              </w:rPr>
            </w:pPr>
            <w:r w:rsidRPr="0053072A">
              <w:rPr>
                <w:b w:val="0"/>
                <w:lang w:val="lv-LV"/>
              </w:rPr>
              <w:t>Ekonomiskās sadarbības un attīstības organizācija</w:t>
            </w:r>
          </w:p>
        </w:tc>
      </w:tr>
      <w:tr w:rsidR="007F09CB" w:rsidRPr="0053072A" w14:paraId="48924F33" w14:textId="77777777">
        <w:tc>
          <w:tcPr>
            <w:tcW w:w="2155" w:type="dxa"/>
            <w:shd w:val="clear" w:color="auto" w:fill="auto"/>
            <w:tcMar>
              <w:top w:w="100" w:type="dxa"/>
              <w:left w:w="100" w:type="dxa"/>
              <w:bottom w:w="100" w:type="dxa"/>
              <w:right w:w="100" w:type="dxa"/>
            </w:tcMar>
          </w:tcPr>
          <w:p w14:paraId="00000032" w14:textId="77777777" w:rsidR="007F09CB" w:rsidRPr="0053072A" w:rsidRDefault="00DB28EC">
            <w:pPr>
              <w:widowControl w:val="0"/>
              <w:spacing w:after="0"/>
              <w:jc w:val="left"/>
              <w:rPr>
                <w:b w:val="0"/>
                <w:lang w:val="lv-LV"/>
              </w:rPr>
            </w:pPr>
            <w:r w:rsidRPr="0053072A">
              <w:rPr>
                <w:b w:val="0"/>
                <w:lang w:val="lv-LV"/>
              </w:rPr>
              <w:t>OPEC</w:t>
            </w:r>
          </w:p>
        </w:tc>
        <w:tc>
          <w:tcPr>
            <w:tcW w:w="7295" w:type="dxa"/>
            <w:shd w:val="clear" w:color="auto" w:fill="auto"/>
            <w:tcMar>
              <w:top w:w="100" w:type="dxa"/>
              <w:left w:w="100" w:type="dxa"/>
              <w:bottom w:w="100" w:type="dxa"/>
              <w:right w:w="100" w:type="dxa"/>
            </w:tcMar>
          </w:tcPr>
          <w:p w14:paraId="00000033" w14:textId="77777777" w:rsidR="007F09CB" w:rsidRPr="0053072A" w:rsidRDefault="00DB28EC">
            <w:pPr>
              <w:widowControl w:val="0"/>
              <w:spacing w:after="0"/>
              <w:jc w:val="left"/>
              <w:rPr>
                <w:b w:val="0"/>
                <w:lang w:val="lv-LV"/>
              </w:rPr>
            </w:pPr>
            <w:r w:rsidRPr="0053072A">
              <w:rPr>
                <w:b w:val="0"/>
                <w:lang w:val="lv-LV"/>
              </w:rPr>
              <w:t>Naftas eksportētājvalstu organizācija</w:t>
            </w:r>
          </w:p>
        </w:tc>
      </w:tr>
      <w:tr w:rsidR="007F09CB" w:rsidRPr="0053072A" w14:paraId="2FF5345D" w14:textId="77777777">
        <w:tc>
          <w:tcPr>
            <w:tcW w:w="2155" w:type="dxa"/>
            <w:shd w:val="clear" w:color="auto" w:fill="auto"/>
            <w:tcMar>
              <w:top w:w="100" w:type="dxa"/>
              <w:left w:w="100" w:type="dxa"/>
              <w:bottom w:w="100" w:type="dxa"/>
              <w:right w:w="100" w:type="dxa"/>
            </w:tcMar>
          </w:tcPr>
          <w:p w14:paraId="00000034" w14:textId="77777777" w:rsidR="007F09CB" w:rsidRPr="0053072A" w:rsidRDefault="00DB28EC">
            <w:pPr>
              <w:widowControl w:val="0"/>
              <w:spacing w:after="0"/>
              <w:jc w:val="left"/>
              <w:rPr>
                <w:b w:val="0"/>
                <w:lang w:val="lv-LV"/>
              </w:rPr>
            </w:pPr>
            <w:r w:rsidRPr="0053072A">
              <w:rPr>
                <w:b w:val="0"/>
                <w:lang w:val="lv-LV"/>
              </w:rPr>
              <w:t>PLN</w:t>
            </w:r>
          </w:p>
        </w:tc>
        <w:tc>
          <w:tcPr>
            <w:tcW w:w="7295" w:type="dxa"/>
            <w:shd w:val="clear" w:color="auto" w:fill="auto"/>
            <w:tcMar>
              <w:top w:w="100" w:type="dxa"/>
              <w:left w:w="100" w:type="dxa"/>
              <w:bottom w:w="100" w:type="dxa"/>
              <w:right w:w="100" w:type="dxa"/>
            </w:tcMar>
          </w:tcPr>
          <w:p w14:paraId="00000035" w14:textId="77777777" w:rsidR="007F09CB" w:rsidRPr="0053072A" w:rsidRDefault="00DB28EC">
            <w:pPr>
              <w:widowControl w:val="0"/>
              <w:spacing w:after="0"/>
              <w:jc w:val="left"/>
              <w:rPr>
                <w:b w:val="0"/>
                <w:lang w:val="lv-LV"/>
              </w:rPr>
            </w:pPr>
            <w:r w:rsidRPr="0053072A">
              <w:rPr>
                <w:b w:val="0"/>
                <w:lang w:val="lv-LV"/>
              </w:rPr>
              <w:t>Polijas zlots</w:t>
            </w:r>
          </w:p>
        </w:tc>
      </w:tr>
      <w:tr w:rsidR="007F09CB" w:rsidRPr="0011743F" w14:paraId="6CE6AFA5" w14:textId="77777777">
        <w:tc>
          <w:tcPr>
            <w:tcW w:w="2155" w:type="dxa"/>
            <w:shd w:val="clear" w:color="auto" w:fill="auto"/>
            <w:tcMar>
              <w:top w:w="100" w:type="dxa"/>
              <w:left w:w="100" w:type="dxa"/>
              <w:bottom w:w="100" w:type="dxa"/>
              <w:right w:w="100" w:type="dxa"/>
            </w:tcMar>
          </w:tcPr>
          <w:p w14:paraId="00000036" w14:textId="77777777" w:rsidR="007F09CB" w:rsidRPr="0053072A" w:rsidRDefault="00DB28EC">
            <w:pPr>
              <w:widowControl w:val="0"/>
              <w:spacing w:after="0"/>
              <w:jc w:val="left"/>
              <w:rPr>
                <w:b w:val="0"/>
                <w:lang w:val="lv-LV"/>
              </w:rPr>
            </w:pPr>
            <w:r w:rsidRPr="0053072A">
              <w:rPr>
                <w:b w:val="0"/>
                <w:lang w:val="lv-LV"/>
              </w:rPr>
              <w:t>Possessor</w:t>
            </w:r>
          </w:p>
        </w:tc>
        <w:tc>
          <w:tcPr>
            <w:tcW w:w="7295" w:type="dxa"/>
            <w:shd w:val="clear" w:color="auto" w:fill="auto"/>
            <w:tcMar>
              <w:top w:w="100" w:type="dxa"/>
              <w:left w:w="100" w:type="dxa"/>
              <w:bottom w:w="100" w:type="dxa"/>
              <w:right w:w="100" w:type="dxa"/>
            </w:tcMar>
          </w:tcPr>
          <w:p w14:paraId="00000037" w14:textId="77777777" w:rsidR="007F09CB" w:rsidRPr="0053072A" w:rsidRDefault="00DB28EC">
            <w:pPr>
              <w:widowControl w:val="0"/>
              <w:spacing w:after="0"/>
              <w:jc w:val="left"/>
              <w:rPr>
                <w:b w:val="0"/>
                <w:lang w:val="lv-LV"/>
              </w:rPr>
            </w:pPr>
            <w:r w:rsidRPr="0053072A">
              <w:rPr>
                <w:b w:val="0"/>
                <w:lang w:val="lv-LV"/>
              </w:rPr>
              <w:t>Sabiedrība ar ierobežotu atbildību “Publisko aktīvu pārvaldītājs Possessor”</w:t>
            </w:r>
          </w:p>
        </w:tc>
      </w:tr>
      <w:tr w:rsidR="007F09CB" w:rsidRPr="0053072A" w14:paraId="68ED414E" w14:textId="77777777">
        <w:tc>
          <w:tcPr>
            <w:tcW w:w="2155" w:type="dxa"/>
            <w:shd w:val="clear" w:color="auto" w:fill="auto"/>
            <w:tcMar>
              <w:top w:w="100" w:type="dxa"/>
              <w:left w:w="100" w:type="dxa"/>
              <w:bottom w:w="100" w:type="dxa"/>
              <w:right w:w="100" w:type="dxa"/>
            </w:tcMar>
          </w:tcPr>
          <w:p w14:paraId="00000038" w14:textId="77777777" w:rsidR="007F09CB" w:rsidRPr="0053072A" w:rsidRDefault="00DB28EC">
            <w:pPr>
              <w:widowControl w:val="0"/>
              <w:spacing w:after="0"/>
              <w:jc w:val="left"/>
              <w:rPr>
                <w:b w:val="0"/>
                <w:lang w:val="lv-LV"/>
              </w:rPr>
            </w:pPr>
            <w:r w:rsidRPr="0053072A">
              <w:rPr>
                <w:b w:val="0"/>
                <w:lang w:val="lv-LV"/>
              </w:rPr>
              <w:t>T</w:t>
            </w:r>
          </w:p>
        </w:tc>
        <w:tc>
          <w:tcPr>
            <w:tcW w:w="7295" w:type="dxa"/>
            <w:shd w:val="clear" w:color="auto" w:fill="auto"/>
            <w:tcMar>
              <w:top w:w="100" w:type="dxa"/>
              <w:left w:w="100" w:type="dxa"/>
              <w:bottom w:w="100" w:type="dxa"/>
              <w:right w:w="100" w:type="dxa"/>
            </w:tcMar>
          </w:tcPr>
          <w:p w14:paraId="00000039" w14:textId="77777777" w:rsidR="007F09CB" w:rsidRPr="0053072A" w:rsidRDefault="00DB28EC">
            <w:pPr>
              <w:widowControl w:val="0"/>
              <w:spacing w:after="0"/>
              <w:jc w:val="left"/>
              <w:rPr>
                <w:b w:val="0"/>
                <w:lang w:val="lv-LV"/>
              </w:rPr>
            </w:pPr>
            <w:r w:rsidRPr="0053072A">
              <w:rPr>
                <w:b w:val="0"/>
                <w:lang w:val="lv-LV"/>
              </w:rPr>
              <w:t>Tonnas</w:t>
            </w:r>
          </w:p>
        </w:tc>
      </w:tr>
      <w:tr w:rsidR="007F09CB" w:rsidRPr="0053072A" w14:paraId="70EF2A9E" w14:textId="77777777">
        <w:tc>
          <w:tcPr>
            <w:tcW w:w="2155" w:type="dxa"/>
            <w:shd w:val="clear" w:color="auto" w:fill="auto"/>
            <w:tcMar>
              <w:top w:w="100" w:type="dxa"/>
              <w:left w:w="100" w:type="dxa"/>
              <w:bottom w:w="100" w:type="dxa"/>
              <w:right w:w="100" w:type="dxa"/>
            </w:tcMar>
          </w:tcPr>
          <w:p w14:paraId="0000003A" w14:textId="77777777" w:rsidR="007F09CB" w:rsidRPr="0053072A" w:rsidRDefault="00DB28EC">
            <w:pPr>
              <w:widowControl w:val="0"/>
              <w:spacing w:after="0"/>
              <w:jc w:val="left"/>
              <w:rPr>
                <w:b w:val="0"/>
                <w:lang w:val="lv-LV"/>
              </w:rPr>
            </w:pPr>
            <w:r w:rsidRPr="0053072A">
              <w:rPr>
                <w:b w:val="0"/>
                <w:lang w:val="lv-LV"/>
              </w:rPr>
              <w:t>UIN</w:t>
            </w:r>
          </w:p>
        </w:tc>
        <w:tc>
          <w:tcPr>
            <w:tcW w:w="7295" w:type="dxa"/>
            <w:shd w:val="clear" w:color="auto" w:fill="auto"/>
            <w:tcMar>
              <w:top w:w="100" w:type="dxa"/>
              <w:left w:w="100" w:type="dxa"/>
              <w:bottom w:w="100" w:type="dxa"/>
              <w:right w:w="100" w:type="dxa"/>
            </w:tcMar>
          </w:tcPr>
          <w:p w14:paraId="0000003B" w14:textId="77777777" w:rsidR="007F09CB" w:rsidRPr="0053072A" w:rsidRDefault="00DB28EC">
            <w:pPr>
              <w:widowControl w:val="0"/>
              <w:spacing w:after="0"/>
              <w:jc w:val="left"/>
              <w:rPr>
                <w:b w:val="0"/>
                <w:lang w:val="lv-LV"/>
              </w:rPr>
            </w:pPr>
            <w:r w:rsidRPr="0053072A">
              <w:rPr>
                <w:b w:val="0"/>
                <w:lang w:val="lv-LV"/>
              </w:rPr>
              <w:t>Uzņēmumu ienākuma nodoklis</w:t>
            </w:r>
          </w:p>
        </w:tc>
      </w:tr>
      <w:tr w:rsidR="007F09CB" w:rsidRPr="0053072A" w14:paraId="2242F513" w14:textId="77777777">
        <w:tc>
          <w:tcPr>
            <w:tcW w:w="2155" w:type="dxa"/>
            <w:shd w:val="clear" w:color="auto" w:fill="auto"/>
            <w:tcMar>
              <w:top w:w="100" w:type="dxa"/>
              <w:left w:w="100" w:type="dxa"/>
              <w:bottom w:w="100" w:type="dxa"/>
              <w:right w:w="100" w:type="dxa"/>
            </w:tcMar>
          </w:tcPr>
          <w:p w14:paraId="0000003C" w14:textId="77777777" w:rsidR="007F09CB" w:rsidRPr="0053072A" w:rsidRDefault="00DB28EC">
            <w:pPr>
              <w:widowControl w:val="0"/>
              <w:spacing w:after="0"/>
              <w:jc w:val="left"/>
              <w:rPr>
                <w:b w:val="0"/>
                <w:lang w:val="lv-LV"/>
              </w:rPr>
            </w:pPr>
            <w:r w:rsidRPr="0053072A">
              <w:rPr>
                <w:b w:val="0"/>
                <w:lang w:val="lv-LV"/>
              </w:rPr>
              <w:t>Valsts nodeva</w:t>
            </w:r>
          </w:p>
        </w:tc>
        <w:tc>
          <w:tcPr>
            <w:tcW w:w="7295" w:type="dxa"/>
            <w:shd w:val="clear" w:color="auto" w:fill="auto"/>
            <w:tcMar>
              <w:top w:w="100" w:type="dxa"/>
              <w:left w:w="100" w:type="dxa"/>
              <w:bottom w:w="100" w:type="dxa"/>
              <w:right w:w="100" w:type="dxa"/>
            </w:tcMar>
          </w:tcPr>
          <w:p w14:paraId="0000003D" w14:textId="77777777" w:rsidR="007F09CB" w:rsidRPr="0053072A" w:rsidRDefault="00DB28EC">
            <w:pPr>
              <w:widowControl w:val="0"/>
              <w:spacing w:after="0"/>
              <w:jc w:val="left"/>
              <w:rPr>
                <w:b w:val="0"/>
                <w:lang w:val="lv-LV"/>
              </w:rPr>
            </w:pPr>
            <w:r w:rsidRPr="0053072A">
              <w:rPr>
                <w:b w:val="0"/>
                <w:lang w:val="lv-LV"/>
              </w:rPr>
              <w:t>Valsts nodeva par drošības rezervju uzturēšanu</w:t>
            </w:r>
          </w:p>
        </w:tc>
      </w:tr>
    </w:tbl>
    <w:p w14:paraId="0000003E" w14:textId="77777777" w:rsidR="007F09CB" w:rsidRPr="0053072A" w:rsidRDefault="007F09CB">
      <w:pPr>
        <w:rPr>
          <w:b/>
          <w:color w:val="134753"/>
          <w:sz w:val="32"/>
          <w:szCs w:val="32"/>
          <w:lang w:val="lv-LV"/>
        </w:rPr>
      </w:pPr>
    </w:p>
    <w:p w14:paraId="0000003F" w14:textId="77777777" w:rsidR="007F09CB" w:rsidRPr="0053072A" w:rsidRDefault="00DB28EC">
      <w:pPr>
        <w:rPr>
          <w:b/>
          <w:smallCaps/>
          <w:color w:val="134753"/>
          <w:sz w:val="40"/>
          <w:szCs w:val="40"/>
          <w:lang w:val="lv-LV"/>
        </w:rPr>
      </w:pPr>
      <w:r w:rsidRPr="0053072A">
        <w:rPr>
          <w:lang w:val="lv-LV"/>
        </w:rPr>
        <w:br w:type="page"/>
      </w:r>
    </w:p>
    <w:p w14:paraId="00000040" w14:textId="77777777" w:rsidR="007F09CB" w:rsidRPr="0053072A" w:rsidRDefault="00DB28EC">
      <w:pPr>
        <w:pStyle w:val="Heading1"/>
        <w:rPr>
          <w:lang w:val="lv-LV"/>
        </w:rPr>
      </w:pPr>
      <w:bookmarkStart w:id="2" w:name="_Toc98774201"/>
      <w:r w:rsidRPr="0053072A">
        <w:rPr>
          <w:lang w:val="lv-LV"/>
        </w:rPr>
        <w:lastRenderedPageBreak/>
        <w:t>Ievads</w:t>
      </w:r>
      <w:bookmarkEnd w:id="2"/>
    </w:p>
    <w:p w14:paraId="00000041" w14:textId="77777777" w:rsidR="007F09CB" w:rsidRPr="0053072A" w:rsidRDefault="00DB28EC">
      <w:pPr>
        <w:pBdr>
          <w:top w:val="nil"/>
          <w:left w:val="nil"/>
          <w:bottom w:val="nil"/>
          <w:right w:val="nil"/>
          <w:between w:val="nil"/>
        </w:pBdr>
        <w:rPr>
          <w:color w:val="000000"/>
          <w:lang w:val="lv-LV"/>
        </w:rPr>
      </w:pPr>
      <w:r w:rsidRPr="0053072A">
        <w:rPr>
          <w:color w:val="000000"/>
          <w:lang w:val="lv-LV"/>
        </w:rPr>
        <w:t>Labi ieviesta un funkcionējoša valsts naftas produktu drošības rezervju (turpmāk – drošības rezervju) pārvaldības sistēma ļauj nodrošināt dažādas enerģijas lietotāju grupas ar nepieciešamajiem resursiem enerģētisko krīžu laikā, kā arī valsts apdraudējuma gadījumā.</w:t>
      </w:r>
    </w:p>
    <w:p w14:paraId="00000042" w14:textId="77777777" w:rsidR="007F09CB" w:rsidRPr="0053072A" w:rsidRDefault="00DB28EC">
      <w:pPr>
        <w:pBdr>
          <w:top w:val="nil"/>
          <w:left w:val="nil"/>
          <w:bottom w:val="nil"/>
          <w:right w:val="nil"/>
          <w:between w:val="nil"/>
        </w:pBdr>
        <w:rPr>
          <w:lang w:val="lv-LV"/>
        </w:rPr>
      </w:pPr>
      <w:r w:rsidRPr="0053072A">
        <w:rPr>
          <w:color w:val="000000"/>
          <w:lang w:val="lv-LV"/>
        </w:rPr>
        <w:t xml:space="preserve">Atbilstoši iepriekš minētajam, gan valsts, gan tās iedzīvotāju interesēs, ir šādas sistēmas efektīva un ekonomiski izdevīga pārvaldība un darbība. Līdzšinējās analīzes rezultātā tiek atzīts, ka ilgtermiņā pašreizējais sistēmas modelis ir salīdzinoši dārgs un neefektīvs, kā rezultātā ir paredzēts pakāpeniski pāriet uz aģentūras modeli, iegādājoties naftas produktus valsts īpašumā. Tāpat, saistībā ar valsts enerģētiskās drošības jautājumiem, paredzēts pakāpeniski palielināt valsts naftas produktu drošības rezervju apjomu, kas glabājās Latvijas teritorijā. Pētījuma pirmajā posmā tika veikts izvērtējums par aģentūras modeļa nodrošināšanas iespējamiem risinājumiem un veidiem Latvijā. </w:t>
      </w:r>
    </w:p>
    <w:p w14:paraId="00000043" w14:textId="77777777" w:rsidR="007F09CB" w:rsidRPr="0053072A" w:rsidRDefault="00DB28EC">
      <w:pPr>
        <w:rPr>
          <w:color w:val="000000"/>
          <w:lang w:val="lv-LV"/>
        </w:rPr>
      </w:pPr>
      <w:r w:rsidRPr="0053072A">
        <w:rPr>
          <w:lang w:val="lv-LV"/>
        </w:rPr>
        <w:t>Pēc pētījuma pirmajā posmā veiktās izpētes un savstarpējo scenāriju salīdzinājuma, secināts sekojošais: “</w:t>
      </w:r>
      <w:r w:rsidRPr="0053072A">
        <w:rPr>
          <w:color w:val="000000"/>
          <w:lang w:val="lv-LV"/>
        </w:rPr>
        <w:t>Ņemot vērā scenāriju savstarpējo salīdzinājumu, ir secināms, ka Possesor spēj nodrošināt efektīvāko drošības rezervju pārvaldes procesu, ņemot vērā Possessor līdzšinējo pieredzi aktīvu pārvaldībā un iepirkumu veikšanā, atbilstošu personāla struktūru, iespēju piesaistīt finansējumu uz izdevīgākiem nosacījumiem nekā jaunā kapitālsabiedrībā un lemt par esošās darbības nesadalītās peļņas daļēju novirzīšanu drošības rezervju iegādei. Tāpat jāņem vērā fakts, ka drošības rezervju pārvaldes funkcijas, kas nenodrošina 100% personāla noslodzi, būtu kā papildu funkcija. Šādā veidā tiktu nodrošināta 100% darbinieku noslodze un administratīvās izmaksas tiktu sadalītas uz vairākām veicamajām funkcijām.</w:t>
      </w:r>
      <w:r w:rsidRPr="0053072A">
        <w:rPr>
          <w:lang w:val="lv-LV"/>
        </w:rPr>
        <w:t>”.</w:t>
      </w:r>
    </w:p>
    <w:p w14:paraId="00000044" w14:textId="77777777" w:rsidR="007F09CB" w:rsidRPr="0053072A" w:rsidRDefault="00DB28EC">
      <w:pPr>
        <w:rPr>
          <w:lang w:val="lv-LV"/>
        </w:rPr>
      </w:pPr>
      <w:r w:rsidRPr="0053072A">
        <w:rPr>
          <w:lang w:val="lv-LV"/>
        </w:rPr>
        <w:t>Pētījuma otrās daļas mērķis ir sagatavot aģentūras biznesa plānu 2023.-2029. gadam, ņemot vērā aģentūras juridisko ietvaru, veicamās funkcijas un aģentūrai izvirzīto mērķi – 3 gadu laikā palielināt drošības rezervju apjomu, kas glabājās Latvijas teritorijā (2023. gadā līdz 75%, 2024. gadā līdz 85% un 2025. gadā līdz 100%).</w:t>
      </w:r>
    </w:p>
    <w:p w14:paraId="00000045" w14:textId="77777777" w:rsidR="007F09CB" w:rsidRPr="0053072A" w:rsidRDefault="00DB28EC">
      <w:pPr>
        <w:rPr>
          <w:lang w:val="lv-LV"/>
        </w:rPr>
      </w:pPr>
      <w:r w:rsidRPr="0053072A">
        <w:rPr>
          <w:lang w:val="lv-LV"/>
        </w:rPr>
        <w:t>Pakārtoti šim mērķim, ir veicami sekojoši uzdevumi:</w:t>
      </w:r>
    </w:p>
    <w:p w14:paraId="00000046" w14:textId="77777777" w:rsidR="007F09CB" w:rsidRPr="0053072A" w:rsidRDefault="00DB28EC">
      <w:pPr>
        <w:numPr>
          <w:ilvl w:val="0"/>
          <w:numId w:val="12"/>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Sniegt ārējās vides faktoru, kas tiešā veidā ietekmē aģentūras darbību, izvērtējumu. Aģentūras darbību ietekmējošo ārējo faktoru apzināšana un analīze ļauj noteikt, kādi faktori ietekmē naftas produktu cenu, uzglabāšanas infrastruktūras pakalpojumu cenu un to pieejamību;</w:t>
      </w:r>
    </w:p>
    <w:p w14:paraId="00000047" w14:textId="77777777" w:rsidR="007F09CB" w:rsidRPr="0053072A" w:rsidRDefault="00DB28EC">
      <w:pPr>
        <w:numPr>
          <w:ilvl w:val="0"/>
          <w:numId w:val="12"/>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 xml:space="preserve">Sniegt iekšējās vides faktoru izvērtējumu, iekļaujot aģentūras struktūru, atbilstošāko finansējuma avotu definēšanu, kā arī </w:t>
      </w:r>
      <w:r w:rsidRPr="0053072A">
        <w:rPr>
          <w:lang w:val="lv-LV"/>
        </w:rPr>
        <w:t>operacionālo un risku</w:t>
      </w:r>
      <w:r w:rsidRPr="0053072A">
        <w:rPr>
          <w:rFonts w:ascii="Calibri" w:hAnsi="Calibri" w:cs="Calibri"/>
          <w:color w:val="000000"/>
          <w:lang w:val="lv-LV"/>
        </w:rPr>
        <w:t xml:space="preserve"> analīzi. Iekšējo faktoru analīzes mērķis ir veikt aģentūras administratīvo izmaksu, kapitāla cenas un kapitāla struktūras, kā arī finanšu rezultātus ietekmējošo risku prognozi;</w:t>
      </w:r>
    </w:p>
    <w:p w14:paraId="00000048" w14:textId="77777777" w:rsidR="007F09CB" w:rsidRPr="0053072A" w:rsidRDefault="00DB28EC">
      <w:pPr>
        <w:numPr>
          <w:ilvl w:val="0"/>
          <w:numId w:val="12"/>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Izstrādāt investīciju modeli naftas produktu iegādei un rotācijai. Investīciju modeļa izstrādes procesā tiek prognozēts nākotnes drošības rezervju apjoms 202</w:t>
      </w:r>
      <w:r w:rsidRPr="0053072A">
        <w:rPr>
          <w:lang w:val="lv-LV"/>
        </w:rPr>
        <w:t>3</w:t>
      </w:r>
      <w:r w:rsidRPr="0053072A">
        <w:rPr>
          <w:rFonts w:ascii="Calibri" w:hAnsi="Calibri" w:cs="Calibri"/>
          <w:color w:val="000000"/>
          <w:lang w:val="lv-LV"/>
        </w:rPr>
        <w:t>.</w:t>
      </w:r>
      <w:r w:rsidRPr="0053072A">
        <w:rPr>
          <w:lang w:val="lv-LV"/>
        </w:rPr>
        <w:t>-</w:t>
      </w:r>
      <w:r w:rsidRPr="0053072A">
        <w:rPr>
          <w:rFonts w:ascii="Calibri" w:hAnsi="Calibri" w:cs="Calibri"/>
          <w:color w:val="000000"/>
          <w:lang w:val="lv-LV"/>
        </w:rPr>
        <w:t>202</w:t>
      </w:r>
      <w:r w:rsidRPr="0053072A">
        <w:rPr>
          <w:lang w:val="lv-LV"/>
        </w:rPr>
        <w:t>9</w:t>
      </w:r>
      <w:r w:rsidRPr="0053072A">
        <w:rPr>
          <w:rFonts w:ascii="Calibri" w:hAnsi="Calibri" w:cs="Calibri"/>
          <w:color w:val="000000"/>
          <w:lang w:val="lv-LV"/>
        </w:rPr>
        <w:t>. gadam, nākotnes drošības rezervju cena un šo rezervju uzglabāšanas infrastruktūras pakalpojuma iegādes cena;</w:t>
      </w:r>
    </w:p>
    <w:p w14:paraId="00000049" w14:textId="77777777" w:rsidR="007F09CB" w:rsidRPr="0053072A" w:rsidRDefault="00DB28EC">
      <w:pPr>
        <w:numPr>
          <w:ilvl w:val="0"/>
          <w:numId w:val="12"/>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Izstrādāt finanšu prognozi 202</w:t>
      </w:r>
      <w:r w:rsidRPr="0053072A">
        <w:rPr>
          <w:lang w:val="lv-LV"/>
        </w:rPr>
        <w:t>3</w:t>
      </w:r>
      <w:r w:rsidRPr="0053072A">
        <w:rPr>
          <w:rFonts w:ascii="Calibri" w:hAnsi="Calibri" w:cs="Calibri"/>
          <w:color w:val="000000"/>
          <w:lang w:val="lv-LV"/>
        </w:rPr>
        <w:t>.-202</w:t>
      </w:r>
      <w:r w:rsidRPr="0053072A">
        <w:rPr>
          <w:lang w:val="lv-LV"/>
        </w:rPr>
        <w:t>9</w:t>
      </w:r>
      <w:r w:rsidRPr="0053072A">
        <w:rPr>
          <w:rFonts w:ascii="Calibri" w:hAnsi="Calibri" w:cs="Calibri"/>
          <w:color w:val="000000"/>
          <w:lang w:val="lv-LV"/>
        </w:rPr>
        <w:t>. gadam, iekļaujot peļņas vai zaudējumu aprēķinu, bilanci un naudas plūsmas prognozi;</w:t>
      </w:r>
    </w:p>
    <w:p w14:paraId="0000004A" w14:textId="77777777" w:rsidR="007F09CB" w:rsidRPr="0053072A" w:rsidRDefault="00DB28EC">
      <w:pPr>
        <w:numPr>
          <w:ilvl w:val="0"/>
          <w:numId w:val="12"/>
        </w:num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Sniegt secinājumus un priekšlikumus, kas balstīti biznesa plāna izstrādes procesā iegūtajā informācijā.</w:t>
      </w:r>
    </w:p>
    <w:p w14:paraId="0000004B" w14:textId="77777777" w:rsidR="007F09CB" w:rsidRPr="0053072A" w:rsidRDefault="00DB28EC">
      <w:pPr>
        <w:rPr>
          <w:lang w:val="lv-LV"/>
        </w:rPr>
      </w:pPr>
      <w:r w:rsidRPr="0053072A">
        <w:rPr>
          <w:lang w:val="lv-LV"/>
        </w:rPr>
        <w:t>Pētījumā izmantota sekojoša metodoloģija:</w:t>
      </w:r>
    </w:p>
    <w:p w14:paraId="0000004C" w14:textId="77777777" w:rsidR="007F09CB" w:rsidRPr="0053072A" w:rsidRDefault="00DB28EC">
      <w:pPr>
        <w:numPr>
          <w:ilvl w:val="0"/>
          <w:numId w:val="13"/>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Kvantitatīvā analīze;</w:t>
      </w:r>
    </w:p>
    <w:p w14:paraId="0000004D" w14:textId="77777777" w:rsidR="007F09CB" w:rsidRPr="0053072A" w:rsidRDefault="00DB28EC">
      <w:pPr>
        <w:numPr>
          <w:ilvl w:val="0"/>
          <w:numId w:val="13"/>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Intervijas a</w:t>
      </w:r>
      <w:r w:rsidRPr="0053072A">
        <w:rPr>
          <w:lang w:val="lv-LV"/>
        </w:rPr>
        <w:t>r iesaistītajām pusēm industrijā</w:t>
      </w:r>
      <w:r w:rsidRPr="0053072A">
        <w:rPr>
          <w:rFonts w:ascii="Calibri" w:hAnsi="Calibri" w:cs="Calibri"/>
          <w:color w:val="000000"/>
          <w:lang w:val="lv-LV"/>
        </w:rPr>
        <w:t>;</w:t>
      </w:r>
    </w:p>
    <w:p w14:paraId="0000004E" w14:textId="77777777" w:rsidR="007F09CB" w:rsidRPr="0053072A" w:rsidRDefault="00DB28EC">
      <w:pPr>
        <w:numPr>
          <w:ilvl w:val="0"/>
          <w:numId w:val="13"/>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Datu analīze;</w:t>
      </w:r>
    </w:p>
    <w:p w14:paraId="0000004F" w14:textId="77777777" w:rsidR="007F09CB" w:rsidRPr="0053072A" w:rsidRDefault="00DB28EC">
      <w:pPr>
        <w:numPr>
          <w:ilvl w:val="0"/>
          <w:numId w:val="13"/>
        </w:num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Finanšu modelēšana.</w:t>
      </w:r>
    </w:p>
    <w:p w14:paraId="00000050" w14:textId="77777777" w:rsidR="007F09CB" w:rsidRPr="0053072A" w:rsidRDefault="00DB28EC">
      <w:pPr>
        <w:rPr>
          <w:lang w:val="lv-LV"/>
        </w:rPr>
      </w:pPr>
      <w:r w:rsidRPr="0053072A">
        <w:rPr>
          <w:lang w:val="lv-LV"/>
        </w:rPr>
        <w:t xml:space="preserve">Pieņemot, ka aģentūras modeļa pakāpeniska ieviešana tiek sākta 2023. gadā, finanšu modelis sastādīts 2023.-2029. gadam. Vēsturiskie dati par dažādiem aspektiem tiek apkopoti dažādu laika periodu ietvaros, </w:t>
      </w:r>
      <w:r w:rsidRPr="0053072A">
        <w:rPr>
          <w:lang w:val="lv-LV"/>
        </w:rPr>
        <w:lastRenderedPageBreak/>
        <w:t>sākot no 2004. gada, līdz pat jaunākajai pieejamai informācijai, kas atsevišķos gadījumos ir pieejama par 2022. gadu.</w:t>
      </w:r>
    </w:p>
    <w:p w14:paraId="00000051" w14:textId="77777777" w:rsidR="007F09CB" w:rsidRPr="0053072A" w:rsidRDefault="00DB28EC">
      <w:pPr>
        <w:rPr>
          <w:lang w:val="lv-LV"/>
        </w:rPr>
      </w:pPr>
      <w:r w:rsidRPr="0053072A">
        <w:rPr>
          <w:lang w:val="lv-LV"/>
        </w:rPr>
        <w:t>Viens no galvenajiem pētījuma ierobežojumiem ir pētījuma laikā strauji mainīgā ģeopolitiskā situācija pasaulē, kam ir potenciāls būtiski ietekmēt atsevišķus pētījumā izvirzītos pieņēmumus un uz tiem balstītos datus. Tāpat pašlaik nav paredzama ilgtermiņa ietekme uz dažādiem faktoriem, kas aprakstīti šī pētījuma ietvaros, piemēram, naftas produktu pieprasījumu, piedāvājumu, cenu, kā arī citus ar drošības rezervēm saistītus faktorus.</w:t>
      </w:r>
    </w:p>
    <w:p w14:paraId="00000052" w14:textId="77777777" w:rsidR="007F09CB" w:rsidRPr="0053072A" w:rsidRDefault="00DB28EC">
      <w:pPr>
        <w:rPr>
          <w:lang w:val="lv-LV"/>
        </w:rPr>
      </w:pPr>
      <w:r w:rsidRPr="0053072A">
        <w:rPr>
          <w:lang w:val="lv-LV"/>
        </w:rPr>
        <w:br w:type="page"/>
      </w:r>
    </w:p>
    <w:p w14:paraId="00000053" w14:textId="77777777" w:rsidR="007F09CB" w:rsidRPr="0053072A" w:rsidRDefault="00DB28EC">
      <w:pPr>
        <w:pStyle w:val="Heading1"/>
        <w:numPr>
          <w:ilvl w:val="0"/>
          <w:numId w:val="10"/>
        </w:numPr>
        <w:ind w:left="0" w:firstLine="0"/>
        <w:rPr>
          <w:lang w:val="lv-LV"/>
        </w:rPr>
      </w:pPr>
      <w:bookmarkStart w:id="3" w:name="_Toc98774202"/>
      <w:r w:rsidRPr="0053072A">
        <w:rPr>
          <w:lang w:val="lv-LV"/>
        </w:rPr>
        <w:lastRenderedPageBreak/>
        <w:t>ārējās vides analīze</w:t>
      </w:r>
      <w:bookmarkEnd w:id="3"/>
    </w:p>
    <w:p w14:paraId="00000054" w14:textId="77777777" w:rsidR="007F09CB" w:rsidRPr="0053072A" w:rsidRDefault="00DB28EC">
      <w:pPr>
        <w:rPr>
          <w:lang w:val="lv-LV"/>
        </w:rPr>
      </w:pPr>
      <w:r w:rsidRPr="0053072A">
        <w:rPr>
          <w:lang w:val="lv-LV"/>
        </w:rPr>
        <w:t>Ārējās vides analīzes mērķis ir noteikt un īsi analizēt galvenos makro vides un industrijas līmeņa faktorus, kas ietekmē naftas produktu cenu un to patēriņu, kas tālāk attiecīgi ietekmē arī šajā pētījumā analizēto aģentūras modeli. Līdzīgi kā ar citām precēm, naftas produktu cenu lielā mērā ietekmē pieprasījums un piedāvājums šiem produktiem.</w:t>
      </w:r>
    </w:p>
    <w:p w14:paraId="00000055" w14:textId="77777777" w:rsidR="007F09CB" w:rsidRPr="0053072A" w:rsidRDefault="00DB28EC" w:rsidP="00CE2AF1">
      <w:pPr>
        <w:pStyle w:val="Focus"/>
        <w:rPr>
          <w:lang w:val="lv-LV"/>
        </w:rPr>
      </w:pPr>
      <w:r w:rsidRPr="0053072A">
        <w:rPr>
          <w:lang w:val="lv-LV"/>
        </w:rPr>
        <w:t>Galvenie pieprasījumu ietekmējošie faktori:</w:t>
      </w:r>
    </w:p>
    <w:p w14:paraId="00000056" w14:textId="77777777" w:rsidR="007F09CB" w:rsidRPr="0053072A" w:rsidRDefault="00DB28EC">
      <w:pPr>
        <w:numPr>
          <w:ilvl w:val="0"/>
          <w:numId w:val="1"/>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Valstu ekonomiskās attīstības dinamika</w:t>
      </w:r>
      <w:r w:rsidRPr="0053072A">
        <w:rPr>
          <w:lang w:val="lv-LV"/>
        </w:rPr>
        <w:t xml:space="preserve"> –</w:t>
      </w:r>
      <w:r w:rsidRPr="0053072A">
        <w:rPr>
          <w:rFonts w:ascii="Calibri" w:hAnsi="Calibri" w:cs="Calibri"/>
          <w:color w:val="000000"/>
          <w:lang w:val="lv-LV"/>
        </w:rPr>
        <w:t xml:space="preserve"> paaugstinoties ekonomikas izaugsmei, paaugstinās arī pieprasījums pēc naftas produktiem</w:t>
      </w:r>
      <w:r w:rsidRPr="0053072A">
        <w:rPr>
          <w:lang w:val="lv-LV"/>
        </w:rPr>
        <w:t>;</w:t>
      </w:r>
    </w:p>
    <w:p w14:paraId="00000057" w14:textId="77777777" w:rsidR="007F09CB" w:rsidRPr="0053072A" w:rsidRDefault="00DB28EC">
      <w:pPr>
        <w:numPr>
          <w:ilvl w:val="0"/>
          <w:numId w:val="1"/>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 xml:space="preserve">Pasaules inovāciju cikli </w:t>
      </w:r>
      <w:r w:rsidRPr="0053072A">
        <w:rPr>
          <w:lang w:val="lv-LV"/>
        </w:rPr>
        <w:t>–</w:t>
      </w:r>
      <w:r w:rsidRPr="0053072A">
        <w:rPr>
          <w:rFonts w:ascii="Calibri" w:hAnsi="Calibri" w:cs="Calibri"/>
          <w:color w:val="000000"/>
          <w:lang w:val="lv-LV"/>
        </w:rPr>
        <w:t xml:space="preserve"> tiek definēti 6 inovāciju cikli, un pašlaik ir vērojams 6. inovāciju cikla sākums, kurā uzsvars </w:t>
      </w:r>
      <w:r w:rsidRPr="0053072A">
        <w:rPr>
          <w:lang w:val="lv-LV"/>
        </w:rPr>
        <w:t>būs uz mākslīgā intelekta, robotu un tīro tehnoloģiju attīstību, kas nākotnē mainīs esošos biznesa modeļus un patēriņa paradumus, tostarp saistībā ar risinājumiem enerģijas ieguvē</w:t>
      </w:r>
      <w:r w:rsidRPr="0053072A">
        <w:rPr>
          <w:rFonts w:ascii="Calibri" w:hAnsi="Calibri" w:cs="Calibri"/>
          <w:color w:val="000000"/>
          <w:vertAlign w:val="superscript"/>
          <w:lang w:val="lv-LV"/>
        </w:rPr>
        <w:footnoteReference w:id="1"/>
      </w:r>
      <w:r w:rsidRPr="0053072A">
        <w:rPr>
          <w:lang w:val="lv-LV"/>
        </w:rPr>
        <w:t>;</w:t>
      </w:r>
    </w:p>
    <w:p w14:paraId="00000058" w14:textId="77777777" w:rsidR="007F09CB" w:rsidRPr="0053072A" w:rsidRDefault="00DB28EC">
      <w:pPr>
        <w:numPr>
          <w:ilvl w:val="0"/>
          <w:numId w:val="1"/>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Politiskie lēmumi attiecībā uz valstu enerģētikas politiku – piemēram, pašreiz ES mērogā, Eiropas Zaļā kur</w:t>
      </w:r>
      <w:r w:rsidRPr="0053072A">
        <w:rPr>
          <w:lang w:val="lv-LV"/>
        </w:rPr>
        <w:t>sa ietvaros,</w:t>
      </w:r>
      <w:r w:rsidRPr="0053072A">
        <w:rPr>
          <w:rFonts w:ascii="Calibri" w:hAnsi="Calibri" w:cs="Calibri"/>
          <w:color w:val="000000"/>
          <w:lang w:val="lv-LV"/>
        </w:rPr>
        <w:t xml:space="preserve"> vērojama izteikta virzība uz atjaunojamajiem ener</w:t>
      </w:r>
      <w:r w:rsidRPr="0053072A">
        <w:rPr>
          <w:lang w:val="lv-LV"/>
        </w:rPr>
        <w:t>go</w:t>
      </w:r>
      <w:r w:rsidRPr="0053072A">
        <w:rPr>
          <w:rFonts w:ascii="Calibri" w:hAnsi="Calibri" w:cs="Calibri"/>
          <w:color w:val="000000"/>
          <w:lang w:val="lv-LV"/>
        </w:rPr>
        <w:t xml:space="preserve">resursiem, oglekļa dioksīda izmešu samazināšanu un ilgtspējīgu enerģētikas nozari kopumā. Virzība uz atjaunojamo enerģijas avotu plašāku izmantošanu, veicina pieprasījuma samazinājumu pēc fosilajiem </w:t>
      </w:r>
      <w:r w:rsidRPr="0053072A">
        <w:rPr>
          <w:lang w:val="lv-LV"/>
        </w:rPr>
        <w:t>energoresursiem;</w:t>
      </w:r>
    </w:p>
    <w:p w14:paraId="00000059" w14:textId="77777777" w:rsidR="007F09CB" w:rsidRPr="0053072A" w:rsidRDefault="00DB28EC">
      <w:pPr>
        <w:numPr>
          <w:ilvl w:val="0"/>
          <w:numId w:val="1"/>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 xml:space="preserve">Spekulācijas finanšu tirgos </w:t>
      </w:r>
      <w:r w:rsidRPr="0053072A">
        <w:rPr>
          <w:lang w:val="lv-LV"/>
        </w:rPr>
        <w:t>–</w:t>
      </w:r>
      <w:r w:rsidRPr="0053072A">
        <w:rPr>
          <w:rFonts w:ascii="Calibri" w:hAnsi="Calibri" w:cs="Calibri"/>
          <w:color w:val="000000"/>
          <w:lang w:val="lv-LV"/>
        </w:rPr>
        <w:t xml:space="preserve"> naftas produkti, to mainīgās cenas dēļ, tiek aktīvi pirkti un pārdoti finanšu tirgos. Liela daļa no šīm operācijām ir spekulatīvas </w:t>
      </w:r>
      <w:r w:rsidRPr="0053072A">
        <w:rPr>
          <w:lang w:val="lv-LV"/>
        </w:rPr>
        <w:t>–</w:t>
      </w:r>
      <w:r w:rsidRPr="0053072A">
        <w:rPr>
          <w:rFonts w:ascii="Calibri" w:hAnsi="Calibri" w:cs="Calibri"/>
          <w:color w:val="000000"/>
          <w:lang w:val="lv-LV"/>
        </w:rPr>
        <w:t xml:space="preserve"> tiek pirkti un pārdoti naftas produktu nākotnes līgumi, neveicot faktisku naftas produktu iegādi. Šādu finanšu operāciju mērķis ir mākslīgi </w:t>
      </w:r>
      <w:r w:rsidRPr="0053072A">
        <w:rPr>
          <w:lang w:val="lv-LV"/>
        </w:rPr>
        <w:t xml:space="preserve">mainīt </w:t>
      </w:r>
      <w:r w:rsidRPr="0053072A">
        <w:rPr>
          <w:rFonts w:ascii="Calibri" w:hAnsi="Calibri" w:cs="Calibri"/>
          <w:color w:val="000000"/>
          <w:lang w:val="lv-LV"/>
        </w:rPr>
        <w:t xml:space="preserve">pieprasījumu, un šādā veidā iniciēt izmaiņas naftas produktu cenā, lai nopelnītu no </w:t>
      </w:r>
      <w:r w:rsidRPr="0053072A">
        <w:rPr>
          <w:lang w:val="lv-LV"/>
        </w:rPr>
        <w:t xml:space="preserve">cenas izmaiņām. </w:t>
      </w:r>
    </w:p>
    <w:p w14:paraId="0000005A" w14:textId="77777777" w:rsidR="007F09CB" w:rsidRPr="0053072A" w:rsidRDefault="00DB28EC" w:rsidP="00CE2AF1">
      <w:pPr>
        <w:pStyle w:val="Focus"/>
        <w:rPr>
          <w:lang w:val="lv-LV"/>
        </w:rPr>
      </w:pPr>
      <w:r w:rsidRPr="0053072A">
        <w:rPr>
          <w:lang w:val="lv-LV"/>
        </w:rPr>
        <w:t>Galvenie piedāvājumu ietekmējošie faktori:</w:t>
      </w:r>
    </w:p>
    <w:p w14:paraId="0000005B" w14:textId="77777777" w:rsidR="007F09CB" w:rsidRPr="0053072A" w:rsidRDefault="00DB28EC">
      <w:pPr>
        <w:numPr>
          <w:ilvl w:val="0"/>
          <w:numId w:val="3"/>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Naftas ražotāju pieņemtie lēmumi attiecībā uz ražošanas jaudu palielināšanu vai samazināšanu. Palielinot ražošanas jaudas, tiek palielināts piedāvājums, kā rezultātā naftas produktu cenai teorētisk</w:t>
      </w:r>
      <w:r w:rsidRPr="0053072A">
        <w:rPr>
          <w:lang w:val="lv-LV"/>
        </w:rPr>
        <w:t>i ir</w:t>
      </w:r>
      <w:r w:rsidRPr="0053072A">
        <w:rPr>
          <w:rFonts w:ascii="Calibri" w:hAnsi="Calibri" w:cs="Calibri"/>
          <w:color w:val="000000"/>
          <w:lang w:val="lv-LV"/>
        </w:rPr>
        <w:t xml:space="preserve"> jāsamazinās. Samazinot ražošanas jaudas, attiecīgi samazinās arī piedāvājums un, ja pieprasījums paliek nemainīgs vai palielinās, tad naftas produktu cenu līmeni</w:t>
      </w:r>
      <w:r w:rsidRPr="0053072A">
        <w:rPr>
          <w:lang w:val="lv-LV"/>
        </w:rPr>
        <w:t>m teorētiski ir</w:t>
      </w:r>
      <w:r w:rsidRPr="0053072A">
        <w:rPr>
          <w:rFonts w:ascii="Calibri" w:hAnsi="Calibri" w:cs="Calibri"/>
          <w:color w:val="000000"/>
          <w:lang w:val="lv-LV"/>
        </w:rPr>
        <w:t xml:space="preserve"> jāpalielinās. Viena no </w:t>
      </w:r>
      <w:r w:rsidRPr="0053072A">
        <w:rPr>
          <w:lang w:val="lv-LV"/>
        </w:rPr>
        <w:t>galvenajām organizācijām, kas to var ietekmēt ir Naftas eksportētājvalstu organizācija</w:t>
      </w:r>
      <w:r w:rsidRPr="0053072A">
        <w:rPr>
          <w:rFonts w:ascii="Calibri" w:hAnsi="Calibri" w:cs="Calibri"/>
          <w:color w:val="000000"/>
          <w:lang w:val="lv-LV"/>
        </w:rPr>
        <w:t xml:space="preserve"> (turpmāk – OPEC) </w:t>
      </w:r>
      <w:r w:rsidRPr="0053072A">
        <w:rPr>
          <w:lang w:val="lv-LV"/>
        </w:rPr>
        <w:t>—</w:t>
      </w:r>
      <w:r w:rsidRPr="0053072A">
        <w:rPr>
          <w:rFonts w:ascii="Calibri" w:hAnsi="Calibri" w:cs="Calibri"/>
          <w:color w:val="000000"/>
          <w:lang w:val="lv-LV"/>
        </w:rPr>
        <w:t xml:space="preserve"> pasaulē ietekmīgākā naftas ieguves valstu apvienība, kurā iekļautās valstis saražo aptuveni 40% no visas pasaules naftas produktiem</w:t>
      </w:r>
      <w:r w:rsidRPr="0053072A">
        <w:rPr>
          <w:rFonts w:ascii="Calibri" w:hAnsi="Calibri" w:cs="Calibri"/>
          <w:color w:val="000000"/>
          <w:vertAlign w:val="superscript"/>
          <w:lang w:val="lv-LV"/>
        </w:rPr>
        <w:footnoteReference w:id="2"/>
      </w:r>
      <w:r w:rsidRPr="0053072A">
        <w:rPr>
          <w:rFonts w:ascii="Calibri" w:hAnsi="Calibri" w:cs="Calibri"/>
          <w:color w:val="000000"/>
          <w:lang w:val="lv-LV"/>
        </w:rPr>
        <w:t>;</w:t>
      </w:r>
    </w:p>
    <w:p w14:paraId="0000005C" w14:textId="77777777" w:rsidR="007F09CB" w:rsidRPr="0053072A" w:rsidRDefault="00DB28EC">
      <w:pPr>
        <w:numPr>
          <w:ilvl w:val="0"/>
          <w:numId w:val="3"/>
        </w:numPr>
        <w:pBdr>
          <w:top w:val="nil"/>
          <w:left w:val="nil"/>
          <w:bottom w:val="nil"/>
          <w:right w:val="nil"/>
          <w:between w:val="nil"/>
        </w:pBdr>
        <w:spacing w:line="276" w:lineRule="auto"/>
        <w:rPr>
          <w:rFonts w:ascii="Calibri" w:hAnsi="Calibri" w:cs="Calibri"/>
          <w:color w:val="000000"/>
          <w:lang w:val="lv-LV"/>
        </w:rPr>
      </w:pPr>
      <w:r w:rsidRPr="0053072A">
        <w:rPr>
          <w:rFonts w:ascii="Calibri" w:hAnsi="Calibri" w:cs="Calibri"/>
          <w:color w:val="000000"/>
          <w:lang w:val="lv-LV"/>
        </w:rPr>
        <w:t>Politisk</w:t>
      </w:r>
      <w:r w:rsidRPr="0053072A">
        <w:rPr>
          <w:lang w:val="lv-LV"/>
        </w:rPr>
        <w:t xml:space="preserve">ie notikumi </w:t>
      </w:r>
      <w:r w:rsidRPr="0053072A">
        <w:rPr>
          <w:rFonts w:ascii="Calibri" w:hAnsi="Calibri" w:cs="Calibri"/>
          <w:color w:val="000000"/>
          <w:lang w:val="lv-LV"/>
        </w:rPr>
        <w:t>reģionos, kuros tiek iegūti naftas produkti, un to ietekme uz citu valstu politiku. Īpaši tas attiecināms uz notikumiem, kur</w:t>
      </w:r>
      <w:r w:rsidRPr="0053072A">
        <w:rPr>
          <w:lang w:val="lv-LV"/>
        </w:rPr>
        <w:t>os iesaistītas</w:t>
      </w:r>
      <w:r w:rsidRPr="0053072A">
        <w:rPr>
          <w:rFonts w:ascii="Calibri" w:hAnsi="Calibri" w:cs="Calibri"/>
          <w:color w:val="000000"/>
          <w:lang w:val="lv-LV"/>
        </w:rPr>
        <w:t xml:space="preserve"> OPEC dalībvalst</w:t>
      </w:r>
      <w:r w:rsidRPr="0053072A">
        <w:rPr>
          <w:lang w:val="lv-LV"/>
        </w:rPr>
        <w:t>is</w:t>
      </w:r>
      <w:r w:rsidRPr="0053072A">
        <w:rPr>
          <w:rFonts w:ascii="Calibri" w:hAnsi="Calibri" w:cs="Calibri"/>
          <w:color w:val="000000"/>
          <w:lang w:val="lv-LV"/>
        </w:rPr>
        <w:t xml:space="preserve">, ņemot vērā šo valstu naftas produktu ieguves un piegādes apjomu pret kopējo pasaules naftas produktu piedāvājuma apjomu. </w:t>
      </w:r>
    </w:p>
    <w:p w14:paraId="0000005D" w14:textId="77777777" w:rsidR="007F09CB" w:rsidRPr="0053072A" w:rsidRDefault="00DB28EC">
      <w:pPr>
        <w:pStyle w:val="Heading2"/>
        <w:numPr>
          <w:ilvl w:val="1"/>
          <w:numId w:val="8"/>
        </w:numPr>
        <w:ind w:left="0" w:firstLine="18"/>
        <w:rPr>
          <w:lang w:val="lv-LV"/>
        </w:rPr>
      </w:pPr>
      <w:bookmarkStart w:id="4" w:name="_Toc98774203"/>
      <w:r w:rsidRPr="0053072A">
        <w:rPr>
          <w:lang w:val="lv-LV"/>
        </w:rPr>
        <w:t>Politiskie faktori</w:t>
      </w:r>
      <w:bookmarkEnd w:id="4"/>
    </w:p>
    <w:p w14:paraId="0000005E" w14:textId="77777777" w:rsidR="007F09CB" w:rsidRPr="0053072A" w:rsidRDefault="00DB28EC">
      <w:pPr>
        <w:rPr>
          <w:color w:val="000000"/>
          <w:lang w:val="lv-LV"/>
        </w:rPr>
      </w:pPr>
      <w:r w:rsidRPr="0053072A">
        <w:rPr>
          <w:lang w:val="lv-LV"/>
        </w:rPr>
        <w:t xml:space="preserve">Globāli ir vērojama tendence, ka liela daļa pasaules valstu izmanto dažādus politiskos mehānismus, lai ierobežotu klimata izmaiņas. Līdzšinējie risinājumi gan nav nesuši būtiskus rezultātus, un šis risks draud </w:t>
      </w:r>
      <w:r w:rsidRPr="0053072A">
        <w:rPr>
          <w:lang w:val="lv-LV"/>
        </w:rPr>
        <w:lastRenderedPageBreak/>
        <w:t xml:space="preserve">atstāt būtisku ietekmi arī nākotnē. Līdz ar to, ir sagaidāms, ka tiks īstenoti vēl apņēmīgāki pasākumi, kas tostarp spēcīgi ietekmēs arī naftas industriju nākotnē. </w:t>
      </w:r>
      <w:r w:rsidRPr="0053072A">
        <w:rPr>
          <w:color w:val="000000"/>
          <w:lang w:val="lv-LV"/>
        </w:rPr>
        <w:t>Ņemot vērā, ka Latvija ir Eiropas Savienības (turpmāk – ES) dalībvalsts, tad uz Latvijas turpmāko enerģētikas politiku ir attiecināmi sekojoši ES izvirzītie mērķi saistībā ar enerģētikas politiku līdz 2030. gadam:</w:t>
      </w:r>
    </w:p>
    <w:p w14:paraId="0000005F" w14:textId="77777777" w:rsidR="007F09CB" w:rsidRPr="0053072A" w:rsidRDefault="00DB28EC">
      <w:pPr>
        <w:numPr>
          <w:ilvl w:val="0"/>
          <w:numId w:val="24"/>
        </w:numPr>
        <w:shd w:val="clear" w:color="auto" w:fill="FFFFFF"/>
        <w:rPr>
          <w:color w:val="000000"/>
          <w:lang w:val="lv-LV"/>
        </w:rPr>
      </w:pPr>
      <w:r w:rsidRPr="0053072A">
        <w:rPr>
          <w:color w:val="000000"/>
          <w:lang w:val="lv-LV"/>
        </w:rPr>
        <w:t>Siltumnīcas efekta gāzu emisiju samazinājums vismaz par 40% salīdzinājumā ar 1990. gada līmeni;</w:t>
      </w:r>
    </w:p>
    <w:p w14:paraId="00000060" w14:textId="77777777" w:rsidR="007F09CB" w:rsidRPr="0053072A" w:rsidRDefault="00DB28EC">
      <w:pPr>
        <w:numPr>
          <w:ilvl w:val="0"/>
          <w:numId w:val="24"/>
        </w:numPr>
        <w:shd w:val="clear" w:color="auto" w:fill="FFFFFF"/>
        <w:rPr>
          <w:color w:val="000000"/>
          <w:lang w:val="lv-LV"/>
        </w:rPr>
      </w:pPr>
      <w:r w:rsidRPr="0053072A">
        <w:rPr>
          <w:color w:val="000000"/>
          <w:lang w:val="lv-LV"/>
        </w:rPr>
        <w:t>Atjaunojamo energoresursu īpatsvara palielināšana līdz 32% enerģijas patēriņā;</w:t>
      </w:r>
    </w:p>
    <w:p w14:paraId="00000061" w14:textId="77777777" w:rsidR="007F09CB" w:rsidRPr="0053072A" w:rsidRDefault="00DB28EC">
      <w:pPr>
        <w:numPr>
          <w:ilvl w:val="0"/>
          <w:numId w:val="24"/>
        </w:numPr>
        <w:shd w:val="clear" w:color="auto" w:fill="FFFFFF"/>
        <w:rPr>
          <w:color w:val="000000"/>
          <w:lang w:val="lv-LV"/>
        </w:rPr>
      </w:pPr>
      <w:r w:rsidRPr="0053072A">
        <w:rPr>
          <w:color w:val="000000"/>
          <w:lang w:val="lv-LV"/>
        </w:rPr>
        <w:t>Energoefektivitātes uzlabojums par 32,5%;</w:t>
      </w:r>
    </w:p>
    <w:p w14:paraId="00000062" w14:textId="77777777" w:rsidR="007F09CB" w:rsidRPr="0053072A" w:rsidRDefault="00DB28EC">
      <w:pPr>
        <w:numPr>
          <w:ilvl w:val="0"/>
          <w:numId w:val="24"/>
        </w:numPr>
        <w:shd w:val="clear" w:color="auto" w:fill="FFFFFF"/>
        <w:rPr>
          <w:color w:val="000000"/>
          <w:lang w:val="lv-LV"/>
        </w:rPr>
      </w:pPr>
      <w:r w:rsidRPr="0053072A">
        <w:rPr>
          <w:color w:val="000000"/>
          <w:lang w:val="lv-LV"/>
        </w:rPr>
        <w:t>Vismaz 15% ES elektroenerģijas sistēmas ir savstarpēja savienošana.</w:t>
      </w:r>
      <w:r w:rsidRPr="0053072A">
        <w:rPr>
          <w:color w:val="000000"/>
          <w:vertAlign w:val="superscript"/>
          <w:lang w:val="lv-LV"/>
        </w:rPr>
        <w:footnoteReference w:id="3"/>
      </w:r>
    </w:p>
    <w:p w14:paraId="00000063" w14:textId="77777777" w:rsidR="007F09CB" w:rsidRPr="0053072A" w:rsidRDefault="00DB28EC">
      <w:pPr>
        <w:shd w:val="clear" w:color="auto" w:fill="FFFFFF"/>
        <w:rPr>
          <w:lang w:val="lv-LV"/>
        </w:rPr>
      </w:pPr>
      <w:r w:rsidRPr="0053072A">
        <w:rPr>
          <w:lang w:val="lv-LV"/>
        </w:rPr>
        <w:t>Šie E</w:t>
      </w:r>
      <w:r w:rsidRPr="0053072A">
        <w:rPr>
          <w:color w:val="000000"/>
          <w:lang w:val="lv-LV"/>
        </w:rPr>
        <w:t>S izvirzītie mērķi un E</w:t>
      </w:r>
      <w:r w:rsidRPr="0053072A">
        <w:rPr>
          <w:lang w:val="lv-LV"/>
        </w:rPr>
        <w:t>iropas</w:t>
      </w:r>
      <w:r w:rsidRPr="0053072A">
        <w:rPr>
          <w:color w:val="000000"/>
          <w:lang w:val="lv-LV"/>
        </w:rPr>
        <w:t xml:space="preserve"> Zaļā kursa ietvaros veiktā apņemšanās līdz 2050. gadam panākt klimatneitralitāti, </w:t>
      </w:r>
      <w:r w:rsidRPr="0053072A">
        <w:rPr>
          <w:lang w:val="lv-LV"/>
        </w:rPr>
        <w:t xml:space="preserve">veicinās pieprasījuma samazināšanos pēc </w:t>
      </w:r>
      <w:r w:rsidRPr="0053072A">
        <w:rPr>
          <w:color w:val="000000"/>
          <w:lang w:val="lv-LV"/>
        </w:rPr>
        <w:t>fosil</w:t>
      </w:r>
      <w:r w:rsidRPr="0053072A">
        <w:rPr>
          <w:lang w:val="lv-LV"/>
        </w:rPr>
        <w:t>ajiem</w:t>
      </w:r>
      <w:r w:rsidRPr="0053072A">
        <w:rPr>
          <w:color w:val="000000"/>
          <w:lang w:val="lv-LV"/>
        </w:rPr>
        <w:t xml:space="preserve"> energoresurs</w:t>
      </w:r>
      <w:r w:rsidRPr="0053072A">
        <w:rPr>
          <w:lang w:val="lv-LV"/>
        </w:rPr>
        <w:t>iem</w:t>
      </w:r>
      <w:r w:rsidRPr="0053072A">
        <w:rPr>
          <w:color w:val="000000"/>
          <w:lang w:val="lv-LV"/>
        </w:rPr>
        <w:t>. Jāņem vērā, ka pārejas process uz atjaunojamās enerģijas resurs</w:t>
      </w:r>
      <w:r w:rsidRPr="0053072A">
        <w:rPr>
          <w:lang w:val="lv-LV"/>
        </w:rPr>
        <w:t>u plašāku izmantošanu</w:t>
      </w:r>
      <w:r w:rsidRPr="0053072A">
        <w:rPr>
          <w:color w:val="000000"/>
          <w:lang w:val="lv-LV"/>
        </w:rPr>
        <w:t xml:space="preserve"> ir sākumposmā. ES virzību uz atjaunojamajiem enerģijas resursiem apstiprina arī OPEC vidēja termiņa un ilgtermiņa nākotnes prognozes par naftas produktu pieprasījumu (skatīt 1. attēlu)</w:t>
      </w:r>
      <w:r w:rsidRPr="0053072A">
        <w:rPr>
          <w:lang w:val="lv-LV"/>
        </w:rPr>
        <w:t>.</w:t>
      </w:r>
    </w:p>
    <w:p w14:paraId="00000064" w14:textId="77777777" w:rsidR="007F09CB" w:rsidRPr="0053072A" w:rsidRDefault="00DB28EC" w:rsidP="00CE2AF1">
      <w:pPr>
        <w:pStyle w:val="Caption"/>
        <w:framePr w:wrap="around"/>
        <w:rPr>
          <w:lang w:val="lv-LV"/>
        </w:rPr>
      </w:pPr>
      <w:r w:rsidRPr="0053072A">
        <w:rPr>
          <w:lang w:val="lv-LV"/>
        </w:rPr>
        <w:t>1. attēls. Prognozētās pieprasījuma izmaiņas naftas produktiem OECD Eiropas dalībvalstīs un pasaulē, 2021.-2029. gads, %</w:t>
      </w:r>
    </w:p>
    <w:p w14:paraId="00000065" w14:textId="77777777" w:rsidR="007F09CB" w:rsidRPr="0053072A" w:rsidRDefault="00DB28EC">
      <w:pPr>
        <w:shd w:val="clear" w:color="auto" w:fill="FFFFFF"/>
        <w:spacing w:before="280" w:after="280"/>
        <w:rPr>
          <w:lang w:val="lv-LV"/>
        </w:rPr>
      </w:pPr>
      <w:r w:rsidRPr="0053072A">
        <w:rPr>
          <w:noProof/>
          <w:lang w:val="lv-LV"/>
        </w:rPr>
        <w:drawing>
          <wp:inline distT="114300" distB="114300" distL="114300" distR="114300" wp14:anchorId="4AE4636D" wp14:editId="36C73499">
            <wp:extent cx="5996630" cy="2641600"/>
            <wp:effectExtent l="0" t="0" r="0" b="0"/>
            <wp:docPr id="1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5996630" cy="2641600"/>
                    </a:xfrm>
                    <a:prstGeom prst="rect">
                      <a:avLst/>
                    </a:prstGeom>
                    <a:ln/>
                  </pic:spPr>
                </pic:pic>
              </a:graphicData>
            </a:graphic>
          </wp:inline>
        </w:drawing>
      </w:r>
    </w:p>
    <w:p w14:paraId="00000066" w14:textId="77777777" w:rsidR="007F09CB" w:rsidRPr="0053072A" w:rsidRDefault="00DB28EC" w:rsidP="00CE2AF1">
      <w:pPr>
        <w:pStyle w:val="Bottomcaption"/>
        <w:framePr w:wrap="around"/>
        <w:rPr>
          <w:lang w:val="lv-LV"/>
        </w:rPr>
      </w:pPr>
      <w:r w:rsidRPr="0053072A">
        <w:rPr>
          <w:lang w:val="lv-LV"/>
        </w:rPr>
        <w:t>Avots: OPEC. World Oil Outlook 2045. 2021. gads</w:t>
      </w:r>
    </w:p>
    <w:p w14:paraId="00000067" w14:textId="77777777" w:rsidR="007F09CB" w:rsidRPr="0053072A" w:rsidRDefault="00DB28EC">
      <w:pPr>
        <w:shd w:val="clear" w:color="auto" w:fill="FFFFFF"/>
        <w:rPr>
          <w:color w:val="000000"/>
          <w:lang w:val="lv-LV"/>
        </w:rPr>
      </w:pPr>
      <w:r w:rsidRPr="0053072A">
        <w:rPr>
          <w:lang w:val="lv-LV"/>
        </w:rPr>
        <w:t>Tiek prognozēts, ka skatītajā periodā, n</w:t>
      </w:r>
      <w:r w:rsidRPr="0053072A">
        <w:rPr>
          <w:color w:val="000000"/>
          <w:lang w:val="lv-LV"/>
        </w:rPr>
        <w:t>o 202</w:t>
      </w:r>
      <w:r w:rsidRPr="0053072A">
        <w:rPr>
          <w:lang w:val="lv-LV"/>
        </w:rPr>
        <w:t>1</w:t>
      </w:r>
      <w:r w:rsidRPr="0053072A">
        <w:rPr>
          <w:color w:val="000000"/>
          <w:lang w:val="lv-LV"/>
        </w:rPr>
        <w:t>. līdz 202</w:t>
      </w:r>
      <w:r w:rsidRPr="0053072A">
        <w:rPr>
          <w:lang w:val="lv-LV"/>
        </w:rPr>
        <w:t>9</w:t>
      </w:r>
      <w:r w:rsidRPr="0053072A">
        <w:rPr>
          <w:color w:val="000000"/>
          <w:lang w:val="lv-LV"/>
        </w:rPr>
        <w:t>. gadam, Ekonomiskās sadarbības un attīstības organizācijas (turpmāk – OECD)</w:t>
      </w:r>
      <w:r w:rsidRPr="0053072A">
        <w:rPr>
          <w:lang w:val="lv-LV"/>
        </w:rPr>
        <w:t xml:space="preserve"> Eiropas</w:t>
      </w:r>
      <w:r w:rsidRPr="0053072A">
        <w:rPr>
          <w:color w:val="000000"/>
          <w:lang w:val="lv-LV"/>
        </w:rPr>
        <w:t xml:space="preserve"> dalībvalstīs tiek </w:t>
      </w:r>
      <w:r w:rsidRPr="0053072A">
        <w:rPr>
          <w:lang w:val="lv-LV"/>
        </w:rPr>
        <w:t>prognozēts 2,5</w:t>
      </w:r>
      <w:r w:rsidRPr="0053072A">
        <w:rPr>
          <w:color w:val="000000"/>
          <w:lang w:val="lv-LV"/>
        </w:rPr>
        <w:t>% pieprasījuma samazinājums pēc naftas produktiem.</w:t>
      </w:r>
      <w:r w:rsidRPr="0053072A">
        <w:rPr>
          <w:lang w:val="lv-LV"/>
        </w:rPr>
        <w:t xml:space="preserve"> Augtākās pieprasījuma izmaiņas ir gaidāmas tieši sākotnējos gados</w:t>
      </w:r>
      <w:r w:rsidRPr="0053072A">
        <w:rPr>
          <w:color w:val="000000"/>
          <w:lang w:val="lv-LV"/>
        </w:rPr>
        <w:t>, balstoties uz pieņēmumu, ka turpināsies pasaules ekonomikas atkopšanās no C</w:t>
      </w:r>
      <w:r w:rsidRPr="0053072A">
        <w:rPr>
          <w:lang w:val="lv-LV"/>
        </w:rPr>
        <w:t>ovid</w:t>
      </w:r>
      <w:r w:rsidRPr="0053072A">
        <w:rPr>
          <w:color w:val="000000"/>
          <w:lang w:val="lv-LV"/>
        </w:rPr>
        <w:t xml:space="preserve">-19 pandēmijas izraisītās ietekmes. Sākot no 2024. gada, šajā </w:t>
      </w:r>
      <w:r w:rsidRPr="0053072A">
        <w:rPr>
          <w:lang w:val="lv-LV"/>
        </w:rPr>
        <w:t>reģionā</w:t>
      </w:r>
      <w:r w:rsidRPr="0053072A">
        <w:rPr>
          <w:color w:val="000000"/>
          <w:lang w:val="lv-LV"/>
        </w:rPr>
        <w:t xml:space="preserve"> naftas produktu pieprasījuma pieaugums kļūst negatīvs (pieprasījums pēc naftas produktiem samazināsies).</w:t>
      </w:r>
      <w:r w:rsidRPr="0053072A">
        <w:rPr>
          <w:lang w:val="lv-LV"/>
        </w:rPr>
        <w:t xml:space="preserve"> Arī turpmākajos gados pēc 2029. gada </w:t>
      </w:r>
      <w:r w:rsidRPr="0053072A">
        <w:rPr>
          <w:color w:val="000000"/>
          <w:lang w:val="lv-LV"/>
        </w:rPr>
        <w:t xml:space="preserve">pieprasījumam pēc naftas produktiem tiek prognozēts regulārs kritums līdz </w:t>
      </w:r>
      <w:r w:rsidRPr="0053072A">
        <w:rPr>
          <w:lang w:val="lv-LV"/>
        </w:rPr>
        <w:t>9,7</w:t>
      </w:r>
      <w:r w:rsidRPr="0053072A">
        <w:rPr>
          <w:color w:val="000000"/>
          <w:lang w:val="lv-LV"/>
        </w:rPr>
        <w:t xml:space="preserve"> mb/d 2045. gadā</w:t>
      </w:r>
      <w:r w:rsidRPr="0053072A">
        <w:rPr>
          <w:lang w:val="lv-LV"/>
        </w:rPr>
        <w:t xml:space="preserve"> (salīdzinājumā ar 12,4 mb/d 2021. gadā, kas šajā laika periodā ir samazinājums par 21,8%)</w:t>
      </w:r>
      <w:r w:rsidRPr="0053072A">
        <w:rPr>
          <w:color w:val="000000"/>
          <w:lang w:val="lv-LV"/>
        </w:rPr>
        <w:t xml:space="preserve">. </w:t>
      </w:r>
      <w:r w:rsidRPr="0053072A">
        <w:rPr>
          <w:lang w:val="lv-LV"/>
        </w:rPr>
        <w:t xml:space="preserve">Tiek paredzēts, ka pasaulē kopumā pieprasījums pēc naftas produktiem turpmākajos gados kļūs mazāks, taču ne vidēja termiņa prognozēs, ne ilgtermiņa prognozēs līdz 2045. gadam, netiek paredzēts, ka tas kļūs negatīvs (OPEC pašreizējās ilgtermiņa prognozes vēsta, ka ilgtermiņā, līdz 2045. gadam, kopējais pieprasījums pēc naftas produktiem pasaulē būs pieaudzis par 20%. </w:t>
      </w:r>
      <w:r w:rsidRPr="0053072A">
        <w:rPr>
          <w:color w:val="000000"/>
          <w:lang w:val="lv-LV"/>
        </w:rPr>
        <w:t>Turpmākajā pētījumā šīs pieprasījuma tendences</w:t>
      </w:r>
      <w:r w:rsidRPr="0053072A">
        <w:rPr>
          <w:lang w:val="lv-LV"/>
        </w:rPr>
        <w:t xml:space="preserve"> par OECD Eiropas dalībvalstu reģionu</w:t>
      </w:r>
      <w:r w:rsidRPr="0053072A">
        <w:rPr>
          <w:color w:val="000000"/>
          <w:lang w:val="lv-LV"/>
        </w:rPr>
        <w:t xml:space="preserve"> tiek </w:t>
      </w:r>
      <w:r w:rsidRPr="0053072A">
        <w:rPr>
          <w:color w:val="000000"/>
          <w:lang w:val="lv-LV"/>
        </w:rPr>
        <w:lastRenderedPageBreak/>
        <w:t>ņemtas vērā</w:t>
      </w:r>
      <w:r w:rsidRPr="0053072A">
        <w:rPr>
          <w:lang w:val="lv-LV"/>
        </w:rPr>
        <w:t xml:space="preserve"> arī</w:t>
      </w:r>
      <w:r w:rsidRPr="0053072A">
        <w:rPr>
          <w:color w:val="000000"/>
          <w:lang w:val="lv-LV"/>
        </w:rPr>
        <w:t xml:space="preserve"> aprēķinot nepieciešamo drošības rezervju apjomu 202</w:t>
      </w:r>
      <w:r w:rsidRPr="0053072A">
        <w:rPr>
          <w:lang w:val="lv-LV"/>
        </w:rPr>
        <w:t>3</w:t>
      </w:r>
      <w:r w:rsidRPr="0053072A">
        <w:rPr>
          <w:color w:val="000000"/>
          <w:lang w:val="lv-LV"/>
        </w:rPr>
        <w:t>.</w:t>
      </w:r>
      <w:r w:rsidRPr="0053072A">
        <w:rPr>
          <w:lang w:val="lv-LV"/>
        </w:rPr>
        <w:t>-</w:t>
      </w:r>
      <w:r w:rsidRPr="0053072A">
        <w:rPr>
          <w:color w:val="000000"/>
          <w:lang w:val="lv-LV"/>
        </w:rPr>
        <w:t>202</w:t>
      </w:r>
      <w:r w:rsidRPr="0053072A">
        <w:rPr>
          <w:lang w:val="lv-LV"/>
        </w:rPr>
        <w:t>9</w:t>
      </w:r>
      <w:r w:rsidRPr="0053072A">
        <w:rPr>
          <w:color w:val="000000"/>
          <w:lang w:val="lv-LV"/>
        </w:rPr>
        <w:t>. gadam. Jāņem vērā, ka, lai gan politiskie faktori ir nozīmīgi veidojot pieprasījumu pēc naftas produktiem konkrēt</w:t>
      </w:r>
      <w:r w:rsidRPr="0053072A">
        <w:rPr>
          <w:lang w:val="lv-LV"/>
        </w:rPr>
        <w:t>os reģionos, svarīgi ir arī citi faktori, kas īsi tiek aprakstīti tālākajās sadaļās.</w:t>
      </w:r>
    </w:p>
    <w:p w14:paraId="00000068" w14:textId="77777777" w:rsidR="007F09CB" w:rsidRPr="0053072A" w:rsidRDefault="00DB28EC">
      <w:pPr>
        <w:shd w:val="clear" w:color="auto" w:fill="FFFFFF"/>
        <w:rPr>
          <w:lang w:val="lv-LV"/>
        </w:rPr>
      </w:pPr>
      <w:r w:rsidRPr="0053072A">
        <w:rPr>
          <w:lang w:val="lv-LV"/>
        </w:rPr>
        <w:t>Tāpat naftas produktu pieprasījumu, piedāvājumu un cenas ietekmē arī plašāki politiskie notikumi pasaulē, piemēram, politiskie notikumi pasaules reģionos, kas saistīti ar naftas produktu ieguvi vai apstrādi. Tāpat būtisku ietekmi atstāj arī, piemēram, OPEC pieņemtie lēmumi par naftas ieguves palielināšanu vai samazināšanu (skatīt 2. attēlu).</w:t>
      </w:r>
    </w:p>
    <w:p w14:paraId="00000069" w14:textId="77777777" w:rsidR="007F09CB" w:rsidRPr="0053072A" w:rsidRDefault="00DB28EC" w:rsidP="00CE2AF1">
      <w:pPr>
        <w:pStyle w:val="Caption"/>
        <w:framePr w:wrap="around"/>
        <w:rPr>
          <w:lang w:val="lv-LV"/>
        </w:rPr>
      </w:pPr>
      <w:r w:rsidRPr="0053072A">
        <w:rPr>
          <w:lang w:val="lv-LV"/>
        </w:rPr>
        <w:t>2. attēls. Jēlnaftas cenas un galvenie tās ietekmējošie ģeopolitiskie un ekonomiskie faktori, 1968.-2021. gads</w:t>
      </w:r>
    </w:p>
    <w:p w14:paraId="0000006A" w14:textId="77777777" w:rsidR="007F09CB" w:rsidRPr="0053072A" w:rsidRDefault="00DB28EC">
      <w:pPr>
        <w:shd w:val="clear" w:color="auto" w:fill="FFFFFF"/>
        <w:spacing w:before="280" w:after="280"/>
        <w:rPr>
          <w:sz w:val="20"/>
          <w:szCs w:val="20"/>
          <w:lang w:val="lv-LV"/>
        </w:rPr>
      </w:pPr>
      <w:r w:rsidRPr="0053072A">
        <w:rPr>
          <w:noProof/>
          <w:sz w:val="20"/>
          <w:szCs w:val="20"/>
          <w:lang w:val="lv-LV"/>
        </w:rPr>
        <w:drawing>
          <wp:inline distT="114300" distB="114300" distL="114300" distR="114300" wp14:anchorId="1339AFEB" wp14:editId="271E9826">
            <wp:extent cx="5996630" cy="3238500"/>
            <wp:effectExtent l="0" t="0" r="0" b="0"/>
            <wp:docPr id="12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996630" cy="3238500"/>
                    </a:xfrm>
                    <a:prstGeom prst="rect">
                      <a:avLst/>
                    </a:prstGeom>
                    <a:ln/>
                  </pic:spPr>
                </pic:pic>
              </a:graphicData>
            </a:graphic>
          </wp:inline>
        </w:drawing>
      </w:r>
    </w:p>
    <w:p w14:paraId="0000006B" w14:textId="4C641416" w:rsidR="007F09CB" w:rsidRPr="0053072A" w:rsidRDefault="00DB28EC" w:rsidP="00CE2AF1">
      <w:pPr>
        <w:pStyle w:val="Bottomcaption"/>
        <w:framePr w:wrap="around"/>
        <w:rPr>
          <w:lang w:val="lv-LV"/>
        </w:rPr>
      </w:pPr>
      <w:r w:rsidRPr="0053072A">
        <w:rPr>
          <w:lang w:val="lv-LV"/>
        </w:rPr>
        <w:t>Avots: U.S. Energy Information Administration. Energy &amp; Financial Markets. What Drives Crude Oil Prices? Pieejams:</w:t>
      </w:r>
      <w:r w:rsidR="00CE2AF1">
        <w:rPr>
          <w:lang w:val="lv-LV"/>
        </w:rPr>
        <w:t xml:space="preserve"> </w:t>
      </w:r>
      <w:r w:rsidRPr="0053072A">
        <w:rPr>
          <w:lang w:val="lv-LV"/>
        </w:rPr>
        <w:t>https://www.eia.gov/finance/markets/crudeoil/spot_prices.php</w:t>
      </w:r>
    </w:p>
    <w:p w14:paraId="0000006C" w14:textId="77777777" w:rsidR="007F09CB" w:rsidRPr="0053072A" w:rsidRDefault="00DB28EC">
      <w:pPr>
        <w:shd w:val="clear" w:color="auto" w:fill="FFFFFF"/>
        <w:rPr>
          <w:lang w:val="lv-LV"/>
        </w:rPr>
      </w:pPr>
      <w:r w:rsidRPr="0053072A">
        <w:rPr>
          <w:lang w:val="lv-LV"/>
        </w:rPr>
        <w:t>Ilgtermiņā nav iespējams precīzi prognozēt OPEC un citu naftas ieguves vadošo valstu lēmumus, bet vispārīga informācija attiecībā uz nākotnē potenciāli sagaidāmajām izmaiņām piedāvājumā ir iegūstama no šīs un citu organizāciju veidotajiem ziņojumiem par prognozēm nākotnē. Pēdējā laika būtiskākais politiskais notikums, kas spēcīgi ietekmē gan naftas produkta piedāvājuma un pieprasījuma aspektus, gan to cenu, ir Krievijas iebrukums Ukrainā un tam sekojošās ekonomiskās sankcijas, kas jau pašreiz atstāj nozīmīgu ietekmi uz šiem aspektiem. Pētījuma izstrādes laikā nav iespējams prognozēt tālāko notikumu attīstību un ilgtermiņa ietekmi uz naftas produktu industriju, taču ir jāņem vērā, kas šis ir svarīgs faktors, kas var ietekmēt tālāk pētījumos aprakstītos pašreizējos pieņēmumus.</w:t>
      </w:r>
    </w:p>
    <w:p w14:paraId="0000006D" w14:textId="77777777" w:rsidR="007F09CB" w:rsidRPr="0053072A" w:rsidRDefault="00DB28EC">
      <w:pPr>
        <w:pStyle w:val="Heading2"/>
        <w:numPr>
          <w:ilvl w:val="1"/>
          <w:numId w:val="8"/>
        </w:numPr>
        <w:ind w:left="0" w:firstLine="18"/>
        <w:rPr>
          <w:lang w:val="lv-LV"/>
        </w:rPr>
      </w:pPr>
      <w:bookmarkStart w:id="5" w:name="_Toc98774204"/>
      <w:r w:rsidRPr="0053072A">
        <w:rPr>
          <w:lang w:val="lv-LV"/>
        </w:rPr>
        <w:t>Ekonomiskie faktori</w:t>
      </w:r>
      <w:bookmarkEnd w:id="5"/>
    </w:p>
    <w:p w14:paraId="0000006E" w14:textId="77777777" w:rsidR="007F09CB" w:rsidRPr="0053072A" w:rsidRDefault="00DB28EC">
      <w:pPr>
        <w:rPr>
          <w:lang w:val="lv-LV"/>
        </w:rPr>
      </w:pPr>
      <w:r w:rsidRPr="0053072A">
        <w:rPr>
          <w:lang w:val="lv-LV"/>
        </w:rPr>
        <w:t xml:space="preserve">Spēcīgu ietekmi uz naftas produktu pieprasījuma un piedāvājuma aspektiem, kā arī attiecīgi arī cenām, atstāj pašreizējie un nākotnē gaidāmie ekonomiskās izaugsmes tempi. Ekonomiskā izaugsme atstāj ietekmi uz dažādām nozarēm, piemēram, transportu, rūpniecību un enerģijas ražošanu, kas savukārt ietekmē pieprasījumu pēc naftas produktiem un attiecīgi arī to cenu. Saistību starp ekonomisko izaugsmi un naftas produktu cenām ietekmē arī citi faktori, kas raksturo konkrētas valstis, piemēram, galvenās ekonomikas </w:t>
      </w:r>
      <w:r w:rsidRPr="0053072A">
        <w:rPr>
          <w:lang w:val="lv-LV"/>
        </w:rPr>
        <w:lastRenderedPageBreak/>
        <w:t>nozares valstī, pieejamie energoresursu veidi, transporta nozari raksturojošie rādītāji, iedzīvotāju paradumi u.c. faktori.</w:t>
      </w:r>
    </w:p>
    <w:p w14:paraId="0000006F" w14:textId="77777777" w:rsidR="007F09CB" w:rsidRPr="0053072A" w:rsidRDefault="00DB28EC">
      <w:pPr>
        <w:rPr>
          <w:sz w:val="34"/>
          <w:szCs w:val="34"/>
          <w:lang w:val="lv-LV"/>
        </w:rPr>
      </w:pPr>
      <w:r w:rsidRPr="0053072A">
        <w:rPr>
          <w:lang w:val="lv-LV"/>
        </w:rPr>
        <w:t>Ievērojamu ietekmi uz ekonomisko izaugsmi ir atstājusi un vēl joprojām atstāj Covid-19 pandēmija un tās ierobežošanai noteiktie pasākumi. 2020. gadā ES iekšzemes kopprodukts (turpmāk – IKP) samazinājās par 5,9%, bet Latvijas IKP – par 3,8%</w:t>
      </w:r>
      <w:r w:rsidRPr="0053072A">
        <w:rPr>
          <w:vertAlign w:val="superscript"/>
          <w:lang w:val="lv-LV"/>
        </w:rPr>
        <w:footnoteReference w:id="4"/>
      </w:r>
      <w:r w:rsidRPr="0053072A">
        <w:rPr>
          <w:lang w:val="lv-LV"/>
        </w:rPr>
        <w:t>. Pēc samazinājuma 2020. gadā un dažādiem ekonomikas stimulēšanas pasākumiem, kas ieviesti pēdējo gadu laikā, ir gaidāms, ka turpmākajos gados ekonomiskā izaugsme būs ar augšupejošu tendenci visos pasaules reģionos. OPEC prognozē, ka ikgadējais reālā IKP pieaugums vidējā termiņā (2020.-2026. gadam) vidēji būs 3,8%, bet OECD Eiropas dalībvalstīs – 2,4%. Savukārt ilgtermiņa prognoze (2020.-2045. gadam) vēsta par 3,1% ikgadēju reālā IKP pieaugumu pasaulē un 1,6% pieaugumu OECD Eiropas dalībvalstīs</w:t>
      </w:r>
      <w:r w:rsidRPr="0053072A">
        <w:rPr>
          <w:vertAlign w:val="superscript"/>
          <w:lang w:val="lv-LV"/>
        </w:rPr>
        <w:footnoteReference w:id="5"/>
      </w:r>
      <w:r w:rsidRPr="0053072A">
        <w:rPr>
          <w:lang w:val="lv-LV"/>
        </w:rPr>
        <w:t>.</w:t>
      </w:r>
    </w:p>
    <w:p w14:paraId="00000070" w14:textId="77777777" w:rsidR="007F09CB" w:rsidRPr="0053072A" w:rsidRDefault="00DB28EC">
      <w:pPr>
        <w:pStyle w:val="Heading2"/>
        <w:numPr>
          <w:ilvl w:val="1"/>
          <w:numId w:val="8"/>
        </w:numPr>
        <w:ind w:left="0" w:firstLine="18"/>
        <w:rPr>
          <w:lang w:val="lv-LV"/>
        </w:rPr>
      </w:pPr>
      <w:bookmarkStart w:id="6" w:name="_Toc98774205"/>
      <w:r w:rsidRPr="0053072A">
        <w:rPr>
          <w:lang w:val="lv-LV"/>
        </w:rPr>
        <w:t>Sociālās vides ietekme</w:t>
      </w:r>
      <w:bookmarkEnd w:id="6"/>
    </w:p>
    <w:p w14:paraId="00000071" w14:textId="77777777" w:rsidR="007F09CB" w:rsidRPr="0053072A" w:rsidRDefault="00DB28EC">
      <w:pPr>
        <w:rPr>
          <w:rFonts w:ascii="Calibri" w:hAnsi="Calibri" w:cs="Calibri"/>
          <w:color w:val="000000"/>
          <w:lang w:val="lv-LV"/>
        </w:rPr>
      </w:pPr>
      <w:r w:rsidRPr="0053072A">
        <w:rPr>
          <w:lang w:val="lv-LV"/>
        </w:rPr>
        <w:t>Galvenie sociālās vides faktori šajā jautājumā ir p</w:t>
      </w:r>
      <w:r w:rsidRPr="0053072A">
        <w:rPr>
          <w:rFonts w:ascii="Calibri" w:hAnsi="Calibri" w:cs="Calibri"/>
          <w:color w:val="000000"/>
          <w:lang w:val="lv-LV"/>
        </w:rPr>
        <w:t>ārmaiņ</w:t>
      </w:r>
      <w:r w:rsidRPr="0053072A">
        <w:rPr>
          <w:lang w:val="lv-LV"/>
        </w:rPr>
        <w:t>as</w:t>
      </w:r>
      <w:r w:rsidRPr="0053072A">
        <w:rPr>
          <w:rFonts w:ascii="Calibri" w:hAnsi="Calibri" w:cs="Calibri"/>
          <w:color w:val="000000"/>
          <w:lang w:val="lv-LV"/>
        </w:rPr>
        <w:t xml:space="preserve"> sabiedrības p</w:t>
      </w:r>
      <w:r w:rsidRPr="0053072A">
        <w:rPr>
          <w:lang w:val="lv-LV"/>
        </w:rPr>
        <w:t>aradumos un</w:t>
      </w:r>
      <w:r w:rsidRPr="0053072A">
        <w:rPr>
          <w:rFonts w:ascii="Calibri" w:hAnsi="Calibri" w:cs="Calibri"/>
          <w:color w:val="000000"/>
          <w:lang w:val="lv-LV"/>
        </w:rPr>
        <w:t xml:space="preserve"> kultūrā</w:t>
      </w:r>
      <w:r w:rsidRPr="0053072A">
        <w:rPr>
          <w:lang w:val="lv-LV"/>
        </w:rPr>
        <w:t>, kā arī iedzīvotāju skaita un struktūras izmaiņas.</w:t>
      </w:r>
    </w:p>
    <w:p w14:paraId="00000072" w14:textId="77777777" w:rsidR="007F09CB" w:rsidRPr="0053072A" w:rsidRDefault="00DB28EC">
      <w:pPr>
        <w:pBdr>
          <w:top w:val="nil"/>
          <w:left w:val="nil"/>
          <w:bottom w:val="nil"/>
          <w:right w:val="nil"/>
          <w:between w:val="nil"/>
        </w:pBdr>
        <w:rPr>
          <w:rFonts w:ascii="Calibri" w:hAnsi="Calibri" w:cs="Calibri"/>
          <w:color w:val="000000"/>
          <w:lang w:val="lv-LV"/>
        </w:rPr>
      </w:pPr>
      <w:r w:rsidRPr="0053072A">
        <w:rPr>
          <w:lang w:val="lv-LV"/>
        </w:rPr>
        <w:t>Starp sabiedrības un ekonomikas vērtībām, lielāku nozīmi gūst i</w:t>
      </w:r>
      <w:r w:rsidRPr="0053072A">
        <w:rPr>
          <w:rFonts w:ascii="Calibri" w:hAnsi="Calibri" w:cs="Calibri"/>
          <w:color w:val="000000"/>
          <w:lang w:val="lv-LV"/>
        </w:rPr>
        <w:t>lgtspējas aktualizācija</w:t>
      </w:r>
      <w:r w:rsidRPr="0053072A">
        <w:rPr>
          <w:lang w:val="lv-LV"/>
        </w:rPr>
        <w:t xml:space="preserve"> </w:t>
      </w:r>
      <w:r w:rsidRPr="0053072A">
        <w:rPr>
          <w:sz w:val="20"/>
          <w:szCs w:val="20"/>
          <w:lang w:val="lv-LV"/>
        </w:rPr>
        <w:t xml:space="preserve">– </w:t>
      </w:r>
      <w:r w:rsidRPr="0053072A">
        <w:rPr>
          <w:lang w:val="lv-LV"/>
        </w:rPr>
        <w:t>a</w:t>
      </w:r>
      <w:r w:rsidRPr="0053072A">
        <w:rPr>
          <w:rFonts w:ascii="Calibri" w:hAnsi="Calibri" w:cs="Calibri"/>
          <w:color w:val="000000"/>
          <w:lang w:val="lv-LV"/>
        </w:rPr>
        <w:t>rvien vairāk uzmanības tiek pievērst</w:t>
      </w:r>
      <w:r w:rsidRPr="0053072A">
        <w:rPr>
          <w:lang w:val="lv-LV"/>
        </w:rPr>
        <w:t>a</w:t>
      </w:r>
      <w:r w:rsidRPr="0053072A">
        <w:rPr>
          <w:rFonts w:ascii="Calibri" w:hAnsi="Calibri" w:cs="Calibri"/>
          <w:color w:val="000000"/>
          <w:lang w:val="lv-LV"/>
        </w:rPr>
        <w:t xml:space="preserve"> tam, kā tiek iegūti konkrēti resursi un kā </w:t>
      </w:r>
      <w:r w:rsidRPr="0053072A">
        <w:rPr>
          <w:lang w:val="lv-LV"/>
        </w:rPr>
        <w:t xml:space="preserve">šis process </w:t>
      </w:r>
      <w:r w:rsidRPr="0053072A">
        <w:rPr>
          <w:rFonts w:ascii="Calibri" w:hAnsi="Calibri" w:cs="Calibri"/>
          <w:color w:val="000000"/>
          <w:lang w:val="lv-LV"/>
        </w:rPr>
        <w:t>ietekmē pasaules ekoloģi</w:t>
      </w:r>
      <w:r w:rsidRPr="0053072A">
        <w:rPr>
          <w:lang w:val="lv-LV"/>
        </w:rPr>
        <w:t>sko stāvokli</w:t>
      </w:r>
      <w:r w:rsidRPr="0053072A">
        <w:rPr>
          <w:rFonts w:ascii="Calibri" w:hAnsi="Calibri" w:cs="Calibri"/>
          <w:color w:val="000000"/>
          <w:lang w:val="lv-LV"/>
        </w:rPr>
        <w:t>. Oglekļa dioksīda izmešu apjom</w:t>
      </w:r>
      <w:r w:rsidRPr="0053072A">
        <w:rPr>
          <w:lang w:val="lv-LV"/>
        </w:rPr>
        <w:t>a samazināšanas plāni</w:t>
      </w:r>
      <w:r w:rsidRPr="0053072A">
        <w:rPr>
          <w:rFonts w:ascii="Calibri" w:hAnsi="Calibri" w:cs="Calibri"/>
          <w:color w:val="000000"/>
          <w:lang w:val="lv-LV"/>
        </w:rPr>
        <w:t xml:space="preserve"> tieši ietekmē pieprasījum</w:t>
      </w:r>
      <w:r w:rsidRPr="0053072A">
        <w:rPr>
          <w:lang w:val="lv-LV"/>
        </w:rPr>
        <w:t>u</w:t>
      </w:r>
      <w:r w:rsidRPr="0053072A">
        <w:rPr>
          <w:rFonts w:ascii="Calibri" w:hAnsi="Calibri" w:cs="Calibri"/>
          <w:color w:val="000000"/>
          <w:lang w:val="lv-LV"/>
        </w:rPr>
        <w:t xml:space="preserve"> pēc fosilajiem resursiem.</w:t>
      </w:r>
      <w:r w:rsidRPr="0053072A">
        <w:rPr>
          <w:lang w:val="lv-LV"/>
        </w:rPr>
        <w:t xml:space="preserve"> </w:t>
      </w:r>
      <w:r w:rsidRPr="0053072A">
        <w:rPr>
          <w:rFonts w:ascii="Calibri" w:hAnsi="Calibri" w:cs="Calibri"/>
          <w:color w:val="000000"/>
          <w:lang w:val="lv-LV"/>
        </w:rPr>
        <w:t xml:space="preserve">Šādas izmaiņas neizbēgami </w:t>
      </w:r>
      <w:r w:rsidRPr="0053072A">
        <w:rPr>
          <w:lang w:val="lv-LV"/>
        </w:rPr>
        <w:t xml:space="preserve">radīs arī tālākas </w:t>
      </w:r>
      <w:r w:rsidRPr="0053072A">
        <w:rPr>
          <w:rFonts w:ascii="Calibri" w:hAnsi="Calibri" w:cs="Calibri"/>
          <w:color w:val="000000"/>
          <w:lang w:val="lv-LV"/>
        </w:rPr>
        <w:t>pārmaiņas uzņēmumu un sabiedrības ikdienā.</w:t>
      </w:r>
    </w:p>
    <w:p w14:paraId="00000073" w14:textId="77777777" w:rsidR="007F09CB" w:rsidRPr="0053072A" w:rsidRDefault="00DB28EC">
      <w:p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 xml:space="preserve">Pēc OPEC </w:t>
      </w:r>
      <w:r w:rsidRPr="0053072A">
        <w:rPr>
          <w:lang w:val="lv-LV"/>
        </w:rPr>
        <w:t>P</w:t>
      </w:r>
      <w:r w:rsidRPr="0053072A">
        <w:rPr>
          <w:rFonts w:ascii="Calibri" w:hAnsi="Calibri" w:cs="Calibri"/>
          <w:color w:val="000000"/>
          <w:lang w:val="lv-LV"/>
        </w:rPr>
        <w:t>asaules naftas pārskata prognozes, līdz 2045. gadam pasaulē iedzīvotāju skaits sasniegs 9,5 miljardus. Nākotnes demogrāfijas tendences paredz, ka darba vecumā esošā sabiedrības daļa pieaugs līdz 900 miljoniem cilvēku</w:t>
      </w:r>
      <w:r w:rsidRPr="0053072A">
        <w:rPr>
          <w:lang w:val="lv-LV"/>
        </w:rPr>
        <w:t>. Pieaugumu šajos rādītājos galvenokārt nodrošinās attīstības un jaunattīstības valstis. Šāda veida demogrāfiskās izmaiņas, kas atšķiras dažādos pasaules reģionos, arī būtiski ietekmē pieprasījumu pēc naftas produktiem.</w:t>
      </w:r>
    </w:p>
    <w:p w14:paraId="00000074" w14:textId="77777777" w:rsidR="007F09CB" w:rsidRPr="0053072A" w:rsidRDefault="00DB28EC">
      <w:pPr>
        <w:pStyle w:val="Heading2"/>
        <w:numPr>
          <w:ilvl w:val="1"/>
          <w:numId w:val="8"/>
        </w:numPr>
        <w:ind w:left="0" w:firstLine="18"/>
        <w:rPr>
          <w:lang w:val="lv-LV"/>
        </w:rPr>
      </w:pPr>
      <w:bookmarkStart w:id="7" w:name="_Toc98774206"/>
      <w:r w:rsidRPr="0053072A">
        <w:rPr>
          <w:lang w:val="lv-LV"/>
        </w:rPr>
        <w:t>Tehnoloģiskie faktori</w:t>
      </w:r>
      <w:bookmarkEnd w:id="7"/>
    </w:p>
    <w:p w14:paraId="00000075" w14:textId="77777777" w:rsidR="007F09CB" w:rsidRPr="0053072A" w:rsidRDefault="00DB28EC">
      <w:pPr>
        <w:pBdr>
          <w:top w:val="nil"/>
          <w:left w:val="nil"/>
          <w:bottom w:val="nil"/>
          <w:right w:val="nil"/>
          <w:between w:val="nil"/>
        </w:pBdr>
        <w:rPr>
          <w:lang w:val="lv-LV"/>
        </w:rPr>
      </w:pPr>
      <w:r w:rsidRPr="0053072A">
        <w:rPr>
          <w:lang w:val="lv-LV"/>
        </w:rPr>
        <w:t>Tehnoloģiju turpmāka attīstība naftas produktu piedāvājumu un pieprasījumu var ietekmēt vairākos veidos. Piemēram, tehnoloģiskā attīstība veicina plašāku atjaunojamo resursu izmantošanu dažādās jomās. Progress ir novērojams gan transporta nozarē, kur izmaiņas veicina, piemēram, plašāka elektrotransportlīdzekļu izmantošana, kā arī augstāka efektivitātes nodrošināšana dažādos transporta veidos, kuros tiek izmantoti iekšdedzes dzinēji. Arī enerģijas ieguvē situāciju maina plašāka atjaunojamo energoresursu izmantošana un tehnoloģiskā attīstība. Vērā jāņem arī attīstības temps – prognozes par atjaunojamo energoresursu īpatsvaru no kopējiem energoresursiem nākotnē ir dažādas, taču pārsvarā tiek atzīts, ka atjaunojamo energoresursu daļa nākotnē piedzīvos lielāko pieaugumu, salīdzinājumā ar citiem energoresursiem. Piemēram, OPEC Pasaules naftas pārskatā tiek prognozēts, ka šī proporcija pasaulē pieaugs no 15,1% 2020. gadā, līdz 23,9% 2045. gadā</w:t>
      </w:r>
      <w:r w:rsidRPr="0053072A">
        <w:rPr>
          <w:vertAlign w:val="superscript"/>
          <w:lang w:val="lv-LV"/>
        </w:rPr>
        <w:footnoteReference w:id="6"/>
      </w:r>
      <w:r w:rsidRPr="0053072A">
        <w:rPr>
          <w:lang w:val="lv-LV"/>
        </w:rPr>
        <w:t>.</w:t>
      </w:r>
    </w:p>
    <w:p w14:paraId="00000076" w14:textId="77777777" w:rsidR="007F09CB" w:rsidRPr="0053072A" w:rsidRDefault="00DB28EC">
      <w:pPr>
        <w:rPr>
          <w:rFonts w:ascii="Calibri" w:hAnsi="Calibri" w:cs="Calibri"/>
          <w:color w:val="000000"/>
          <w:lang w:val="lv-LV"/>
        </w:rPr>
      </w:pPr>
      <w:r w:rsidRPr="0053072A">
        <w:rPr>
          <w:lang w:val="lv-LV"/>
        </w:rPr>
        <w:t xml:space="preserve">Tāpat jaunāko tehnoloģiju </w:t>
      </w:r>
      <w:r w:rsidRPr="0053072A">
        <w:rPr>
          <w:rFonts w:ascii="Calibri" w:hAnsi="Calibri" w:cs="Calibri"/>
          <w:color w:val="000000"/>
          <w:lang w:val="lv-LV"/>
        </w:rPr>
        <w:t>integrācija dažād</w:t>
      </w:r>
      <w:r w:rsidRPr="0053072A">
        <w:rPr>
          <w:lang w:val="lv-LV"/>
        </w:rPr>
        <w:t>os, ar piegādes ķēžu</w:t>
      </w:r>
      <w:r w:rsidRPr="0053072A">
        <w:rPr>
          <w:rFonts w:ascii="Calibri" w:hAnsi="Calibri" w:cs="Calibri"/>
          <w:color w:val="000000"/>
          <w:lang w:val="lv-LV"/>
        </w:rPr>
        <w:t xml:space="preserve"> posmiem saistītos, risinājumos uzlabos piegāžu ķēžu efektivitāti, līdz ar to, tehnoloģisko faktoru ietekmē naftas cenas līmenim ir potenciāls samazināties. </w:t>
      </w:r>
    </w:p>
    <w:p w14:paraId="00000077" w14:textId="77777777" w:rsidR="007F09CB" w:rsidRPr="0053072A" w:rsidRDefault="00DB28EC" w:rsidP="00CE2AF1">
      <w:pPr>
        <w:pStyle w:val="Focus"/>
        <w:rPr>
          <w:lang w:val="lv-LV"/>
        </w:rPr>
      </w:pPr>
      <w:r w:rsidRPr="0053072A">
        <w:rPr>
          <w:lang w:val="lv-LV"/>
        </w:rPr>
        <w:t>Galvenie secinājumi par ārējās vides faktoriem:</w:t>
      </w:r>
    </w:p>
    <w:p w14:paraId="00000078" w14:textId="77777777" w:rsidR="007F09CB" w:rsidRPr="0053072A" w:rsidRDefault="00DB28EC">
      <w:pPr>
        <w:numPr>
          <w:ilvl w:val="0"/>
          <w:numId w:val="24"/>
        </w:numPr>
        <w:shd w:val="clear" w:color="auto" w:fill="FFFFFF"/>
        <w:rPr>
          <w:color w:val="000000"/>
          <w:lang w:val="lv-LV"/>
        </w:rPr>
      </w:pPr>
      <w:r w:rsidRPr="0053072A">
        <w:rPr>
          <w:color w:val="000000"/>
          <w:lang w:val="lv-LV"/>
        </w:rPr>
        <w:t xml:space="preserve">ES izvirzītie klimata mērķi, apvienojumā ar citiem faktoriem, šajā reģionā veicinās pakāpenisku pieprasījuma samazinājumu pēc naftas produktiem, 2024. gadā pieprasījumam OECD Eiropas dalībvalstīs sasniedzot negatīvu līmeni. Šī prognoze tiek izmantota arī par pamatu pieņēmumam, </w:t>
      </w:r>
      <w:r w:rsidRPr="0053072A">
        <w:rPr>
          <w:color w:val="000000"/>
          <w:lang w:val="lv-LV"/>
        </w:rPr>
        <w:lastRenderedPageBreak/>
        <w:t>ka pēc sākotnēja pieauguma tuvākajos gados, Latvijas drošības rezervju apjomam būs tendence samazināties;</w:t>
      </w:r>
    </w:p>
    <w:p w14:paraId="00000079" w14:textId="77777777" w:rsidR="007F09CB" w:rsidRPr="0053072A" w:rsidRDefault="00DB28EC">
      <w:pPr>
        <w:numPr>
          <w:ilvl w:val="0"/>
          <w:numId w:val="24"/>
        </w:numPr>
        <w:shd w:val="clear" w:color="auto" w:fill="FFFFFF"/>
        <w:rPr>
          <w:color w:val="000000"/>
          <w:lang w:val="lv-LV"/>
        </w:rPr>
      </w:pPr>
      <w:r w:rsidRPr="0053072A">
        <w:rPr>
          <w:color w:val="000000"/>
          <w:lang w:val="lv-LV"/>
        </w:rPr>
        <w:t>Tiek prognozēts, ka strauja ekonomiskā izaugsme pēc pandēmijas negatīvās ietekmes būs novērojama līdz 2023. gadam. Pēc 2023. gada tiek prognozēta IKP izaugsmes stabilizācija, kas ietekmēs arī pieprasījumu pēc naftas produktiem un veicinās cenas izmaiņas;</w:t>
      </w:r>
    </w:p>
    <w:p w14:paraId="0000007A" w14:textId="77777777" w:rsidR="007F09CB" w:rsidRPr="0053072A" w:rsidRDefault="00DB28EC">
      <w:pPr>
        <w:numPr>
          <w:ilvl w:val="0"/>
          <w:numId w:val="24"/>
        </w:numPr>
        <w:shd w:val="clear" w:color="auto" w:fill="FFFFFF"/>
        <w:rPr>
          <w:color w:val="000000"/>
          <w:lang w:val="lv-LV"/>
        </w:rPr>
      </w:pPr>
      <w:r w:rsidRPr="0053072A">
        <w:rPr>
          <w:color w:val="000000"/>
          <w:lang w:val="lv-LV"/>
        </w:rPr>
        <w:t>Naftas produktu piedāvājumu ietekmē lielāko naftas ražotāju un to organizāciju lēmumi, kā arī politiski un ekonomiski notikumi naftas ieguves reģionos;</w:t>
      </w:r>
    </w:p>
    <w:p w14:paraId="0000007B" w14:textId="77777777" w:rsidR="007F09CB" w:rsidRPr="0053072A" w:rsidRDefault="00DB28EC">
      <w:pPr>
        <w:numPr>
          <w:ilvl w:val="0"/>
          <w:numId w:val="24"/>
        </w:numPr>
        <w:shd w:val="clear" w:color="auto" w:fill="FFFFFF"/>
        <w:rPr>
          <w:color w:val="000000"/>
          <w:lang w:val="lv-LV"/>
        </w:rPr>
      </w:pPr>
      <w:r w:rsidRPr="0053072A">
        <w:rPr>
          <w:color w:val="000000"/>
          <w:lang w:val="lv-LV"/>
        </w:rPr>
        <w:t>Izmaiņas sociālajā un tehnoloģiskajā vidē, kas ir cieši saistītas ar politiskās vides faktoriem, pārsvarā veicina pāreju uz atjaunojamo energoresursu plašāku izmantošanu un naftas produktu izmantošanas īpatsvara samazināšanos.</w:t>
      </w:r>
    </w:p>
    <w:p w14:paraId="0000007C" w14:textId="77777777" w:rsidR="007F09CB" w:rsidRPr="0053072A" w:rsidRDefault="00DB28EC">
      <w:pPr>
        <w:pBdr>
          <w:top w:val="nil"/>
          <w:left w:val="nil"/>
          <w:bottom w:val="nil"/>
          <w:right w:val="nil"/>
          <w:between w:val="nil"/>
        </w:pBdr>
        <w:spacing w:after="0"/>
        <w:jc w:val="left"/>
        <w:rPr>
          <w:rFonts w:ascii="Arial" w:eastAsia="Arial" w:hAnsi="Arial" w:cs="Arial"/>
          <w:lang w:val="lv-LV"/>
        </w:rPr>
      </w:pPr>
      <w:r w:rsidRPr="0053072A">
        <w:rPr>
          <w:lang w:val="lv-LV"/>
        </w:rPr>
        <w:br w:type="page"/>
      </w:r>
    </w:p>
    <w:p w14:paraId="0000007D" w14:textId="77777777" w:rsidR="007F09CB" w:rsidRPr="0053072A" w:rsidRDefault="00DB28EC">
      <w:pPr>
        <w:pStyle w:val="Heading1"/>
        <w:numPr>
          <w:ilvl w:val="0"/>
          <w:numId w:val="10"/>
        </w:numPr>
        <w:ind w:left="0" w:firstLine="0"/>
        <w:rPr>
          <w:lang w:val="lv-LV"/>
        </w:rPr>
      </w:pPr>
      <w:bookmarkStart w:id="8" w:name="_Toc98774207"/>
      <w:r w:rsidRPr="0053072A">
        <w:rPr>
          <w:lang w:val="lv-LV"/>
        </w:rPr>
        <w:lastRenderedPageBreak/>
        <w:t>Iekšējās vides analīze</w:t>
      </w:r>
      <w:bookmarkEnd w:id="8"/>
    </w:p>
    <w:p w14:paraId="0000007E" w14:textId="77777777" w:rsidR="007F09CB" w:rsidRPr="0053072A" w:rsidRDefault="00DB28EC">
      <w:pPr>
        <w:pStyle w:val="Heading2"/>
        <w:numPr>
          <w:ilvl w:val="1"/>
          <w:numId w:val="10"/>
        </w:numPr>
        <w:ind w:left="0" w:firstLine="0"/>
        <w:rPr>
          <w:lang w:val="lv-LV"/>
        </w:rPr>
      </w:pPr>
      <w:bookmarkStart w:id="9" w:name="_Toc98774208"/>
      <w:r w:rsidRPr="0053072A">
        <w:rPr>
          <w:lang w:val="lv-LV"/>
        </w:rPr>
        <w:t>Aģentūras apraksts – funkcijas, personāls un ieviešana</w:t>
      </w:r>
      <w:bookmarkEnd w:id="9"/>
    </w:p>
    <w:p w14:paraId="0000007F" w14:textId="77777777" w:rsidR="007F09CB" w:rsidRPr="0053072A" w:rsidRDefault="00DB28EC">
      <w:pPr>
        <w:rPr>
          <w:lang w:val="lv-LV"/>
        </w:rPr>
      </w:pPr>
      <w:r w:rsidRPr="0053072A">
        <w:rPr>
          <w:lang w:val="lv-LV"/>
        </w:rPr>
        <w:t>Iekšējās vides analīzē sākotnēji tiek aprakstīti galvenie aģentūras darbības principi saistībā ar tās funkcijām un paredzēto personāla sastāvu.</w:t>
      </w:r>
    </w:p>
    <w:p w14:paraId="00000080" w14:textId="77777777" w:rsidR="007F09CB" w:rsidRPr="0053072A" w:rsidRDefault="00DB28EC">
      <w:pPr>
        <w:rPr>
          <w:lang w:val="lv-LV"/>
        </w:rPr>
      </w:pPr>
      <w:r w:rsidRPr="0053072A">
        <w:rPr>
          <w:lang w:val="lv-LV"/>
        </w:rPr>
        <w:t>Esošās funkcijas (izvirzītas balstoties uz esošajām Enerģētikas likumā noteiktajām Centrālās krājumu uzturēšanas struktūra funkcijām</w:t>
      </w:r>
      <w:r w:rsidRPr="0053072A">
        <w:rPr>
          <w:vertAlign w:val="superscript"/>
          <w:lang w:val="lv-LV"/>
        </w:rPr>
        <w:footnoteReference w:id="7"/>
      </w:r>
      <w:r w:rsidRPr="0053072A">
        <w:rPr>
          <w:lang w:val="lv-LV"/>
        </w:rPr>
        <w:t xml:space="preserve"> un balstoties uz Būvniecības valsts kontroles biroja (turpmāk – BVKB) drošības rezervju uzturēšanas pašreizējām funkcijām</w:t>
      </w:r>
      <w:r w:rsidRPr="0053072A">
        <w:rPr>
          <w:vertAlign w:val="superscript"/>
          <w:lang w:val="lv-LV"/>
        </w:rPr>
        <w:footnoteReference w:id="8"/>
      </w:r>
      <w:r w:rsidRPr="0053072A">
        <w:rPr>
          <w:lang w:val="lv-LV"/>
        </w:rPr>
        <w:t>):</w:t>
      </w:r>
    </w:p>
    <w:p w14:paraId="00000081" w14:textId="77777777" w:rsidR="007F09CB" w:rsidRPr="0053072A" w:rsidRDefault="00DB28EC">
      <w:pPr>
        <w:numPr>
          <w:ilvl w:val="0"/>
          <w:numId w:val="24"/>
        </w:numPr>
        <w:shd w:val="clear" w:color="auto" w:fill="FFFFFF"/>
        <w:rPr>
          <w:color w:val="000000"/>
          <w:lang w:val="lv-LV"/>
        </w:rPr>
      </w:pPr>
      <w:r w:rsidRPr="0053072A">
        <w:rPr>
          <w:color w:val="000000"/>
          <w:lang w:val="lv-LV"/>
        </w:rPr>
        <w:t xml:space="preserve">Nodrošināt drošības rezervju uzturēšanu saskaņā ar Padomes 2009. gada 14. septembra Direktīvu 2009/119/EK, ar ko dalībvalstīm tiek uzlikts pienākums uzturēt jēlnaftas un/vai naftas produktu obligātas rezerves (turpmāk – Direktīva 2009/119/EK); </w:t>
      </w:r>
    </w:p>
    <w:p w14:paraId="00000082" w14:textId="77777777" w:rsidR="007F09CB" w:rsidRPr="0053072A" w:rsidRDefault="00DB28EC">
      <w:pPr>
        <w:numPr>
          <w:ilvl w:val="0"/>
          <w:numId w:val="24"/>
        </w:numPr>
        <w:shd w:val="clear" w:color="auto" w:fill="FFFFFF"/>
        <w:rPr>
          <w:color w:val="000000"/>
          <w:lang w:val="lv-LV"/>
        </w:rPr>
      </w:pPr>
      <w:r w:rsidRPr="0053072A">
        <w:rPr>
          <w:color w:val="000000"/>
          <w:lang w:val="lv-LV"/>
        </w:rPr>
        <w:t>Veikt uzglabāšanas pakalpojuma iepirkumu. Ņemot vērā iepriekšējo pētījumu secinājumus, ka jaunas infrastruktūras izbūve nav rentabla, jaunajai aģentūrai, līdzīgi, kā pašreiz, ir jāveic iepirkums, kā rezultātā tiktu izvēlēti komersanti, kas uz līguma pamata uzglabātu drošības rezerves attiecīgajā apjomā Latvijas valsts teritorijā;</w:t>
      </w:r>
    </w:p>
    <w:p w14:paraId="00000083" w14:textId="77777777" w:rsidR="007F09CB" w:rsidRPr="0053072A" w:rsidRDefault="00DB28EC">
      <w:pPr>
        <w:numPr>
          <w:ilvl w:val="0"/>
          <w:numId w:val="24"/>
        </w:numPr>
        <w:shd w:val="clear" w:color="auto" w:fill="FFFFFF"/>
        <w:rPr>
          <w:color w:val="000000"/>
          <w:lang w:val="lv-LV"/>
        </w:rPr>
      </w:pPr>
      <w:r w:rsidRPr="0053072A">
        <w:rPr>
          <w:color w:val="000000"/>
          <w:lang w:val="lv-LV"/>
        </w:rPr>
        <w:t>Veikt drošības rezervju apsekošanu to uzglabāšanas vietās un uzturēt aktuālo informāciju par drošības rezervju apjomu;</w:t>
      </w:r>
    </w:p>
    <w:p w14:paraId="00000084" w14:textId="77777777" w:rsidR="007F09CB" w:rsidRPr="0053072A" w:rsidRDefault="00DB28EC">
      <w:pPr>
        <w:numPr>
          <w:ilvl w:val="0"/>
          <w:numId w:val="24"/>
        </w:numPr>
        <w:shd w:val="clear" w:color="auto" w:fill="FFFFFF"/>
        <w:rPr>
          <w:color w:val="000000"/>
          <w:lang w:val="lv-LV"/>
        </w:rPr>
      </w:pPr>
      <w:r w:rsidRPr="0053072A">
        <w:rPr>
          <w:color w:val="000000"/>
          <w:lang w:val="lv-LV"/>
        </w:rPr>
        <w:t>Veikt naftas produktu informācijas sistēmas administrēšanu;</w:t>
      </w:r>
    </w:p>
    <w:p w14:paraId="00000085" w14:textId="77777777" w:rsidR="007F09CB" w:rsidRPr="0053072A" w:rsidRDefault="00DB28EC">
      <w:pPr>
        <w:numPr>
          <w:ilvl w:val="0"/>
          <w:numId w:val="24"/>
        </w:numPr>
        <w:shd w:val="clear" w:color="auto" w:fill="FFFFFF"/>
        <w:rPr>
          <w:color w:val="000000"/>
          <w:lang w:val="lv-LV"/>
        </w:rPr>
      </w:pPr>
      <w:r w:rsidRPr="0053072A">
        <w:rPr>
          <w:color w:val="000000"/>
          <w:lang w:val="lv-LV"/>
        </w:rPr>
        <w:t>Veikt degvielas tirgus uzraudzību;</w:t>
      </w:r>
    </w:p>
    <w:p w14:paraId="00000086" w14:textId="77777777" w:rsidR="007F09CB" w:rsidRPr="0053072A" w:rsidRDefault="00DB28EC">
      <w:pPr>
        <w:numPr>
          <w:ilvl w:val="0"/>
          <w:numId w:val="24"/>
        </w:numPr>
        <w:shd w:val="clear" w:color="auto" w:fill="FFFFFF"/>
        <w:rPr>
          <w:color w:val="000000"/>
          <w:lang w:val="lv-LV"/>
        </w:rPr>
      </w:pPr>
      <w:r w:rsidRPr="0053072A">
        <w:rPr>
          <w:color w:val="000000"/>
          <w:lang w:val="lv-LV"/>
        </w:rPr>
        <w:t>Veikt valsts nodevas par drošības rezervju uzturēšanu (turpmāk – valsts nodeva) aprēķināšanu un administrēšanu.</w:t>
      </w:r>
    </w:p>
    <w:p w14:paraId="00000087" w14:textId="77777777" w:rsidR="007F09CB" w:rsidRPr="0053072A" w:rsidRDefault="00DB28EC">
      <w:pPr>
        <w:rPr>
          <w:lang w:val="lv-LV"/>
        </w:rPr>
      </w:pPr>
      <w:r w:rsidRPr="0053072A">
        <w:rPr>
          <w:lang w:val="lv-LV"/>
        </w:rPr>
        <w:t>Papildu funkcijas (papildu funkcijas, kas nepieciešamas, lai ieviestu iepriekš aprakstīto aģentūras modeli, par piemēru ņemot arī funkcijas līdzīgos ārvalstu modeļos):</w:t>
      </w:r>
    </w:p>
    <w:p w14:paraId="00000088" w14:textId="77777777" w:rsidR="007F09CB" w:rsidRPr="0053072A" w:rsidRDefault="00DB28EC">
      <w:pPr>
        <w:numPr>
          <w:ilvl w:val="0"/>
          <w:numId w:val="24"/>
        </w:numPr>
        <w:shd w:val="clear" w:color="auto" w:fill="FFFFFF"/>
        <w:rPr>
          <w:color w:val="000000"/>
          <w:lang w:val="lv-LV"/>
        </w:rPr>
      </w:pPr>
      <w:r w:rsidRPr="0053072A">
        <w:rPr>
          <w:color w:val="000000"/>
          <w:lang w:val="lv-LV"/>
        </w:rPr>
        <w:t>Veikt nepieciešamo finanšu līdzekļu piesaisti un pārvaldi. Iespējamie drošības rezervju iegādes finanšu avoti ir atkarīgi no aģentūras formāta. Līdz šim valsts nodeva tiek izmantota, lai finansētu esošo drošības rezervju uzglabāšanas pakalpojumus. Kā alternatīva pastāv aizņemtā kapitāla izmantošana. Aģentūrai ir jāpārvalda kapitāla struktūra, nodrošinot optimālāko kapitāla struktūras proporciju;</w:t>
      </w:r>
    </w:p>
    <w:p w14:paraId="00000089" w14:textId="77777777" w:rsidR="007F09CB" w:rsidRPr="0053072A" w:rsidRDefault="00DB28EC">
      <w:pPr>
        <w:numPr>
          <w:ilvl w:val="0"/>
          <w:numId w:val="24"/>
        </w:numPr>
        <w:shd w:val="clear" w:color="auto" w:fill="FFFFFF"/>
        <w:rPr>
          <w:color w:val="000000"/>
          <w:lang w:val="lv-LV"/>
        </w:rPr>
      </w:pPr>
      <w:r w:rsidRPr="0053072A">
        <w:rPr>
          <w:color w:val="000000"/>
          <w:lang w:val="lv-LV"/>
        </w:rPr>
        <w:t>Veikt drošības rezervju iegādi. Atsaucoties uz iepriekš izvirzītajiem principiem, ka drošības rezervēm ir jābūt valsts īpašumā, viens no aģentūras uzdevumiem būtu rast izdevīgāko iegādes formātu;</w:t>
      </w:r>
    </w:p>
    <w:p w14:paraId="0000008A" w14:textId="77777777" w:rsidR="007F09CB" w:rsidRPr="0053072A" w:rsidRDefault="00DB28EC">
      <w:pPr>
        <w:numPr>
          <w:ilvl w:val="0"/>
          <w:numId w:val="24"/>
        </w:numPr>
        <w:shd w:val="clear" w:color="auto" w:fill="FFFFFF"/>
        <w:rPr>
          <w:color w:val="000000"/>
          <w:lang w:val="lv-LV"/>
        </w:rPr>
      </w:pPr>
      <w:r w:rsidRPr="0053072A">
        <w:rPr>
          <w:color w:val="000000"/>
          <w:lang w:val="lv-LV"/>
        </w:rPr>
        <w:t>Veikt tirgus operācijas ar drošības rezervēm. Ekonomiski izdevīga drošības rezervju iegāde un realizācija.</w:t>
      </w:r>
    </w:p>
    <w:p w14:paraId="0000008B" w14:textId="77777777" w:rsidR="007F09CB" w:rsidRPr="0053072A" w:rsidRDefault="00DB28EC">
      <w:pPr>
        <w:pBdr>
          <w:top w:val="nil"/>
          <w:left w:val="nil"/>
          <w:bottom w:val="nil"/>
          <w:right w:val="nil"/>
          <w:between w:val="nil"/>
        </w:pBdr>
        <w:rPr>
          <w:lang w:val="lv-LV"/>
        </w:rPr>
      </w:pPr>
      <w:r w:rsidRPr="0053072A">
        <w:rPr>
          <w:lang w:val="lv-LV"/>
        </w:rPr>
        <w:t>Pētījuma pirmajā posmā tika sīkāk izpētīta un norādīta optimālā personāla struktūra, kas nepieciešama aģentūras darbībai (skatīt tabulu 1).</w:t>
      </w:r>
    </w:p>
    <w:p w14:paraId="0000008C" w14:textId="77777777" w:rsidR="007F09CB" w:rsidRPr="0053072A" w:rsidRDefault="007F09CB">
      <w:pPr>
        <w:pBdr>
          <w:top w:val="nil"/>
          <w:left w:val="nil"/>
          <w:bottom w:val="nil"/>
          <w:right w:val="nil"/>
          <w:between w:val="nil"/>
        </w:pBdr>
        <w:rPr>
          <w:lang w:val="lv-LV"/>
        </w:rPr>
      </w:pPr>
    </w:p>
    <w:p w14:paraId="0000008D" w14:textId="77777777" w:rsidR="007F09CB" w:rsidRPr="0053072A" w:rsidRDefault="007F09CB">
      <w:pPr>
        <w:pBdr>
          <w:top w:val="nil"/>
          <w:left w:val="nil"/>
          <w:bottom w:val="nil"/>
          <w:right w:val="nil"/>
          <w:between w:val="nil"/>
        </w:pBdr>
        <w:rPr>
          <w:lang w:val="lv-LV"/>
        </w:rPr>
      </w:pPr>
    </w:p>
    <w:p w14:paraId="0000008E" w14:textId="77777777" w:rsidR="007F09CB" w:rsidRPr="0053072A" w:rsidRDefault="007F09CB">
      <w:pPr>
        <w:pBdr>
          <w:top w:val="nil"/>
          <w:left w:val="nil"/>
          <w:bottom w:val="nil"/>
          <w:right w:val="nil"/>
          <w:between w:val="nil"/>
        </w:pBdr>
        <w:rPr>
          <w:lang w:val="lv-LV"/>
        </w:rPr>
      </w:pPr>
    </w:p>
    <w:p w14:paraId="0000008F" w14:textId="77777777" w:rsidR="007F09CB" w:rsidRPr="0053072A" w:rsidRDefault="00DB28EC" w:rsidP="00CE2AF1">
      <w:pPr>
        <w:pStyle w:val="Caption"/>
        <w:framePr w:wrap="around"/>
        <w:rPr>
          <w:rFonts w:ascii="Times New Roman" w:eastAsia="Times New Roman" w:hAnsi="Times New Roman" w:cs="Times New Roman"/>
          <w:sz w:val="24"/>
          <w:szCs w:val="24"/>
          <w:lang w:val="lv-LV"/>
        </w:rPr>
      </w:pPr>
      <w:r w:rsidRPr="0053072A">
        <w:rPr>
          <w:lang w:val="lv-LV"/>
        </w:rPr>
        <w:lastRenderedPageBreak/>
        <w:t>Tabula 1. Optimālā plānotās aģentūras personāla struktūra</w:t>
      </w:r>
    </w:p>
    <w:tbl>
      <w:tblPr>
        <w:tblStyle w:val="afb"/>
        <w:tblW w:w="9553"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600" w:firstRow="0" w:lastRow="0" w:firstColumn="0" w:lastColumn="0" w:noHBand="1" w:noVBand="1"/>
      </w:tblPr>
      <w:tblGrid>
        <w:gridCol w:w="2340"/>
        <w:gridCol w:w="928"/>
        <w:gridCol w:w="4140"/>
        <w:gridCol w:w="2145"/>
      </w:tblGrid>
      <w:tr w:rsidR="007F09CB" w:rsidRPr="0011743F" w14:paraId="531EDE8B" w14:textId="77777777" w:rsidTr="0011743F">
        <w:trPr>
          <w:trHeight w:val="240"/>
        </w:trPr>
        <w:tc>
          <w:tcPr>
            <w:tcW w:w="2340" w:type="dxa"/>
            <w:shd w:val="clear" w:color="auto" w:fill="134753"/>
            <w:tcMar>
              <w:top w:w="100" w:type="dxa"/>
              <w:left w:w="100" w:type="dxa"/>
              <w:bottom w:w="100" w:type="dxa"/>
              <w:right w:w="100" w:type="dxa"/>
            </w:tcMar>
            <w:vAlign w:val="center"/>
          </w:tcPr>
          <w:p w14:paraId="00000090" w14:textId="77777777" w:rsidR="007F09CB" w:rsidRPr="0053072A" w:rsidRDefault="00DB28EC">
            <w:pPr>
              <w:keepNext/>
              <w:keepLines/>
              <w:spacing w:before="0" w:after="0"/>
              <w:jc w:val="left"/>
              <w:rPr>
                <w:color w:val="FFFFFF"/>
                <w:sz w:val="22"/>
                <w:szCs w:val="22"/>
                <w:lang w:val="lv-LV"/>
              </w:rPr>
            </w:pPr>
            <w:r w:rsidRPr="0053072A">
              <w:rPr>
                <w:color w:val="FFFFFF"/>
                <w:sz w:val="22"/>
                <w:szCs w:val="22"/>
                <w:lang w:val="lv-LV"/>
              </w:rPr>
              <w:t>AMATS</w:t>
            </w:r>
          </w:p>
        </w:tc>
        <w:tc>
          <w:tcPr>
            <w:tcW w:w="928" w:type="dxa"/>
            <w:shd w:val="clear" w:color="auto" w:fill="134753"/>
            <w:tcMar>
              <w:top w:w="100" w:type="dxa"/>
              <w:left w:w="100" w:type="dxa"/>
              <w:bottom w:w="100" w:type="dxa"/>
              <w:right w:w="100" w:type="dxa"/>
            </w:tcMar>
            <w:vAlign w:val="center"/>
          </w:tcPr>
          <w:p w14:paraId="00000091" w14:textId="77777777" w:rsidR="007F09CB" w:rsidRPr="0053072A" w:rsidRDefault="00DB28EC">
            <w:pPr>
              <w:keepNext/>
              <w:keepLines/>
              <w:spacing w:before="0" w:after="0"/>
              <w:jc w:val="left"/>
              <w:rPr>
                <w:color w:val="FFFFFF"/>
                <w:sz w:val="22"/>
                <w:szCs w:val="22"/>
                <w:lang w:val="lv-LV"/>
              </w:rPr>
            </w:pPr>
            <w:r w:rsidRPr="0053072A">
              <w:rPr>
                <w:color w:val="FFFFFF"/>
                <w:sz w:val="22"/>
                <w:szCs w:val="22"/>
                <w:lang w:val="lv-LV"/>
              </w:rPr>
              <w:t>AMATA SLODZE</w:t>
            </w:r>
          </w:p>
        </w:tc>
        <w:tc>
          <w:tcPr>
            <w:tcW w:w="4140" w:type="dxa"/>
            <w:shd w:val="clear" w:color="auto" w:fill="134753"/>
            <w:tcMar>
              <w:top w:w="100" w:type="dxa"/>
              <w:left w:w="100" w:type="dxa"/>
              <w:bottom w:w="100" w:type="dxa"/>
              <w:right w:w="100" w:type="dxa"/>
            </w:tcMar>
            <w:vAlign w:val="center"/>
          </w:tcPr>
          <w:p w14:paraId="00000092" w14:textId="77777777" w:rsidR="007F09CB" w:rsidRPr="0053072A" w:rsidRDefault="00DB28EC">
            <w:pPr>
              <w:keepNext/>
              <w:keepLines/>
              <w:spacing w:before="0" w:after="0"/>
              <w:jc w:val="left"/>
              <w:rPr>
                <w:color w:val="FFFFFF"/>
                <w:sz w:val="22"/>
                <w:szCs w:val="22"/>
                <w:lang w:val="lv-LV"/>
              </w:rPr>
            </w:pPr>
            <w:r w:rsidRPr="0053072A">
              <w:rPr>
                <w:color w:val="FFFFFF"/>
                <w:sz w:val="22"/>
                <w:szCs w:val="22"/>
                <w:lang w:val="lv-LV"/>
              </w:rPr>
              <w:t>APRAKSTS</w:t>
            </w:r>
          </w:p>
        </w:tc>
        <w:tc>
          <w:tcPr>
            <w:tcW w:w="2145" w:type="dxa"/>
            <w:shd w:val="clear" w:color="auto" w:fill="134753"/>
            <w:tcMar>
              <w:top w:w="100" w:type="dxa"/>
              <w:left w:w="100" w:type="dxa"/>
              <w:bottom w:w="100" w:type="dxa"/>
              <w:right w:w="100" w:type="dxa"/>
            </w:tcMar>
            <w:vAlign w:val="center"/>
          </w:tcPr>
          <w:p w14:paraId="00000093" w14:textId="77777777" w:rsidR="007F09CB" w:rsidRPr="0053072A" w:rsidRDefault="00DB28EC">
            <w:pPr>
              <w:keepNext/>
              <w:keepLines/>
              <w:spacing w:before="0" w:after="0"/>
              <w:jc w:val="left"/>
              <w:rPr>
                <w:color w:val="FFFFFF"/>
                <w:sz w:val="22"/>
                <w:szCs w:val="22"/>
                <w:lang w:val="lv-LV"/>
              </w:rPr>
            </w:pPr>
            <w:r w:rsidRPr="0053072A">
              <w:rPr>
                <w:color w:val="FFFFFF"/>
                <w:sz w:val="22"/>
                <w:szCs w:val="22"/>
                <w:lang w:val="lv-LV"/>
              </w:rPr>
              <w:t>ATALGOJUMS, IEKĻAUJOT DARBA DEVĒJA UN DARBA ŅĒMĒJA MAKSĀJUMUS VALSTIJ, MĒN., EUR</w:t>
            </w:r>
            <w:r w:rsidRPr="0053072A">
              <w:rPr>
                <w:color w:val="FFFFFF"/>
                <w:sz w:val="22"/>
                <w:szCs w:val="22"/>
                <w:vertAlign w:val="superscript"/>
                <w:lang w:val="lv-LV"/>
              </w:rPr>
              <w:footnoteReference w:id="9"/>
            </w:r>
          </w:p>
        </w:tc>
      </w:tr>
      <w:tr w:rsidR="007F09CB" w:rsidRPr="0053072A" w14:paraId="624C61AC" w14:textId="77777777" w:rsidTr="0011743F">
        <w:trPr>
          <w:trHeight w:val="23"/>
        </w:trPr>
        <w:tc>
          <w:tcPr>
            <w:tcW w:w="2340" w:type="dxa"/>
            <w:shd w:val="clear" w:color="auto" w:fill="F2F2F2"/>
            <w:tcMar>
              <w:top w:w="100" w:type="dxa"/>
              <w:left w:w="100" w:type="dxa"/>
              <w:bottom w:w="100" w:type="dxa"/>
              <w:right w:w="100" w:type="dxa"/>
            </w:tcMar>
            <w:vAlign w:val="center"/>
          </w:tcPr>
          <w:p w14:paraId="00000094" w14:textId="77777777" w:rsidR="007F09CB" w:rsidRPr="0053072A" w:rsidRDefault="00DB28EC" w:rsidP="00CE2AF1">
            <w:pPr>
              <w:spacing w:before="0" w:after="0"/>
              <w:jc w:val="left"/>
              <w:rPr>
                <w:b w:val="0"/>
                <w:sz w:val="22"/>
                <w:szCs w:val="22"/>
                <w:lang w:val="lv-LV"/>
              </w:rPr>
            </w:pPr>
            <w:r w:rsidRPr="0053072A">
              <w:rPr>
                <w:b w:val="0"/>
                <w:sz w:val="22"/>
                <w:szCs w:val="22"/>
                <w:lang w:val="lv-LV"/>
              </w:rPr>
              <w:t>Iestādes vadītājs</w:t>
            </w:r>
          </w:p>
        </w:tc>
        <w:tc>
          <w:tcPr>
            <w:tcW w:w="928" w:type="dxa"/>
            <w:shd w:val="clear" w:color="auto" w:fill="F2F2F2"/>
            <w:tcMar>
              <w:top w:w="100" w:type="dxa"/>
              <w:left w:w="100" w:type="dxa"/>
              <w:bottom w:w="100" w:type="dxa"/>
              <w:right w:w="100" w:type="dxa"/>
            </w:tcMar>
            <w:vAlign w:val="center"/>
          </w:tcPr>
          <w:p w14:paraId="00000095"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96" w14:textId="77777777" w:rsidR="007F09CB" w:rsidRPr="0053072A" w:rsidRDefault="00DB28EC" w:rsidP="00CE2AF1">
            <w:pPr>
              <w:spacing w:before="0" w:after="0"/>
              <w:jc w:val="left"/>
              <w:rPr>
                <w:b w:val="0"/>
                <w:sz w:val="22"/>
                <w:szCs w:val="22"/>
                <w:lang w:val="lv-LV"/>
              </w:rPr>
            </w:pPr>
            <w:r w:rsidRPr="0053072A">
              <w:rPr>
                <w:b w:val="0"/>
                <w:sz w:val="22"/>
                <w:szCs w:val="22"/>
                <w:lang w:val="lv-LV"/>
              </w:rPr>
              <w:t>Vadības, finanšu vadības pieredze</w:t>
            </w:r>
          </w:p>
        </w:tc>
        <w:tc>
          <w:tcPr>
            <w:tcW w:w="2145" w:type="dxa"/>
            <w:shd w:val="clear" w:color="auto" w:fill="F2F2F2"/>
            <w:tcMar>
              <w:top w:w="100" w:type="dxa"/>
              <w:left w:w="100" w:type="dxa"/>
              <w:bottom w:w="100" w:type="dxa"/>
              <w:right w:w="100" w:type="dxa"/>
            </w:tcMar>
            <w:vAlign w:val="center"/>
          </w:tcPr>
          <w:p w14:paraId="00000097" w14:textId="77777777" w:rsidR="007F09CB" w:rsidRPr="0053072A" w:rsidRDefault="00DB28EC" w:rsidP="00CE2AF1">
            <w:pPr>
              <w:spacing w:before="0" w:after="0"/>
              <w:jc w:val="left"/>
              <w:rPr>
                <w:b w:val="0"/>
                <w:sz w:val="22"/>
                <w:szCs w:val="22"/>
                <w:lang w:val="lv-LV"/>
              </w:rPr>
            </w:pPr>
            <w:r w:rsidRPr="0053072A">
              <w:rPr>
                <w:b w:val="0"/>
                <w:sz w:val="22"/>
                <w:szCs w:val="22"/>
                <w:lang w:val="lv-LV"/>
              </w:rPr>
              <w:t>3 950</w:t>
            </w:r>
          </w:p>
        </w:tc>
      </w:tr>
      <w:tr w:rsidR="007F09CB" w:rsidRPr="0053072A" w14:paraId="274BE1E5" w14:textId="77777777" w:rsidTr="0011743F">
        <w:trPr>
          <w:trHeight w:val="257"/>
        </w:trPr>
        <w:tc>
          <w:tcPr>
            <w:tcW w:w="2340" w:type="dxa"/>
            <w:shd w:val="clear" w:color="auto" w:fill="F2F2F2"/>
            <w:tcMar>
              <w:top w:w="100" w:type="dxa"/>
              <w:left w:w="100" w:type="dxa"/>
              <w:bottom w:w="100" w:type="dxa"/>
              <w:right w:w="100" w:type="dxa"/>
            </w:tcMar>
            <w:vAlign w:val="center"/>
          </w:tcPr>
          <w:p w14:paraId="00000098" w14:textId="77777777" w:rsidR="007F09CB" w:rsidRPr="0053072A" w:rsidRDefault="00DB28EC" w:rsidP="00CE2AF1">
            <w:pPr>
              <w:spacing w:before="0" w:after="0"/>
              <w:jc w:val="left"/>
              <w:rPr>
                <w:b w:val="0"/>
                <w:sz w:val="22"/>
                <w:szCs w:val="22"/>
                <w:lang w:val="lv-LV"/>
              </w:rPr>
            </w:pPr>
            <w:r w:rsidRPr="0053072A">
              <w:rPr>
                <w:b w:val="0"/>
                <w:sz w:val="22"/>
                <w:szCs w:val="22"/>
                <w:lang w:val="lv-LV"/>
              </w:rPr>
              <w:t>Padome 3 padomes locekļu sastāvā</w:t>
            </w:r>
          </w:p>
        </w:tc>
        <w:tc>
          <w:tcPr>
            <w:tcW w:w="928" w:type="dxa"/>
            <w:shd w:val="clear" w:color="auto" w:fill="F2F2F2"/>
            <w:tcMar>
              <w:top w:w="100" w:type="dxa"/>
              <w:left w:w="100" w:type="dxa"/>
              <w:bottom w:w="100" w:type="dxa"/>
              <w:right w:w="100" w:type="dxa"/>
            </w:tcMar>
            <w:vAlign w:val="center"/>
          </w:tcPr>
          <w:p w14:paraId="00000099" w14:textId="77777777" w:rsidR="007F09CB" w:rsidRPr="0053072A" w:rsidRDefault="00DB28EC" w:rsidP="00CE2AF1">
            <w:pPr>
              <w:spacing w:before="0" w:after="0"/>
              <w:jc w:val="left"/>
              <w:rPr>
                <w:b w:val="0"/>
                <w:sz w:val="22"/>
                <w:szCs w:val="22"/>
                <w:lang w:val="lv-LV"/>
              </w:rPr>
            </w:pPr>
            <w:r w:rsidRPr="0053072A">
              <w:rPr>
                <w:b w:val="0"/>
                <w:sz w:val="22"/>
                <w:szCs w:val="22"/>
                <w:lang w:val="lv-LV"/>
              </w:rPr>
              <w:t>0,25</w:t>
            </w:r>
          </w:p>
        </w:tc>
        <w:tc>
          <w:tcPr>
            <w:tcW w:w="4140" w:type="dxa"/>
            <w:shd w:val="clear" w:color="auto" w:fill="F2F2F2"/>
            <w:tcMar>
              <w:top w:w="100" w:type="dxa"/>
              <w:left w:w="100" w:type="dxa"/>
              <w:bottom w:w="100" w:type="dxa"/>
              <w:right w:w="100" w:type="dxa"/>
            </w:tcMar>
            <w:vAlign w:val="center"/>
          </w:tcPr>
          <w:p w14:paraId="0000009A" w14:textId="69A99AC1" w:rsidR="007F09CB" w:rsidRPr="0053072A" w:rsidRDefault="00DB28EC" w:rsidP="00CE2AF1">
            <w:pPr>
              <w:spacing w:before="0" w:after="0"/>
              <w:jc w:val="left"/>
              <w:rPr>
                <w:b w:val="0"/>
                <w:sz w:val="22"/>
                <w:szCs w:val="22"/>
                <w:lang w:val="lv-LV"/>
              </w:rPr>
            </w:pPr>
            <w:r w:rsidRPr="0053072A">
              <w:rPr>
                <w:b w:val="0"/>
                <w:sz w:val="22"/>
                <w:szCs w:val="22"/>
                <w:lang w:val="lv-LV"/>
              </w:rPr>
              <w:t>Ekonomikas ministrijas</w:t>
            </w:r>
            <w:r w:rsidR="0053072A">
              <w:rPr>
                <w:b w:val="0"/>
                <w:sz w:val="22"/>
                <w:szCs w:val="22"/>
                <w:lang w:val="lv-LV"/>
              </w:rPr>
              <w:t xml:space="preserve"> (turpmāk – EM)</w:t>
            </w:r>
            <w:r w:rsidRPr="0053072A">
              <w:rPr>
                <w:b w:val="0"/>
                <w:sz w:val="22"/>
                <w:szCs w:val="22"/>
                <w:lang w:val="lv-LV"/>
              </w:rPr>
              <w:t xml:space="preserve"> pārstāvis ar pieredzi ekonomikā vai darbā ar liela apjoma iepirkumiem</w:t>
            </w:r>
          </w:p>
        </w:tc>
        <w:tc>
          <w:tcPr>
            <w:tcW w:w="2145" w:type="dxa"/>
            <w:shd w:val="clear" w:color="auto" w:fill="F2F2F2"/>
            <w:tcMar>
              <w:top w:w="100" w:type="dxa"/>
              <w:left w:w="100" w:type="dxa"/>
              <w:bottom w:w="100" w:type="dxa"/>
              <w:right w:w="100" w:type="dxa"/>
            </w:tcMar>
            <w:vAlign w:val="center"/>
          </w:tcPr>
          <w:p w14:paraId="0000009B" w14:textId="77777777" w:rsidR="007F09CB" w:rsidRPr="0053072A" w:rsidRDefault="00DB28EC" w:rsidP="00CE2AF1">
            <w:pPr>
              <w:spacing w:before="0" w:after="0"/>
              <w:jc w:val="left"/>
              <w:rPr>
                <w:b w:val="0"/>
                <w:sz w:val="22"/>
                <w:szCs w:val="22"/>
                <w:lang w:val="lv-LV"/>
              </w:rPr>
            </w:pPr>
            <w:r w:rsidRPr="0053072A">
              <w:rPr>
                <w:b w:val="0"/>
                <w:sz w:val="22"/>
                <w:szCs w:val="22"/>
                <w:lang w:val="lv-LV"/>
              </w:rPr>
              <w:t>2850</w:t>
            </w:r>
          </w:p>
        </w:tc>
      </w:tr>
      <w:tr w:rsidR="007F09CB" w:rsidRPr="0053072A" w14:paraId="2525E2F0" w14:textId="77777777" w:rsidTr="0011743F">
        <w:trPr>
          <w:trHeight w:val="473"/>
        </w:trPr>
        <w:tc>
          <w:tcPr>
            <w:tcW w:w="2340" w:type="dxa"/>
            <w:shd w:val="clear" w:color="auto" w:fill="F2F2F2"/>
            <w:tcMar>
              <w:top w:w="100" w:type="dxa"/>
              <w:left w:w="100" w:type="dxa"/>
              <w:bottom w:w="100" w:type="dxa"/>
              <w:right w:w="100" w:type="dxa"/>
            </w:tcMar>
            <w:vAlign w:val="center"/>
          </w:tcPr>
          <w:p w14:paraId="0000009C" w14:textId="77777777" w:rsidR="007F09CB" w:rsidRPr="0053072A" w:rsidRDefault="00DB28EC" w:rsidP="00CE2AF1">
            <w:pPr>
              <w:spacing w:before="0" w:after="0"/>
              <w:jc w:val="left"/>
              <w:rPr>
                <w:b w:val="0"/>
                <w:sz w:val="22"/>
                <w:szCs w:val="22"/>
                <w:lang w:val="lv-LV"/>
              </w:rPr>
            </w:pPr>
            <w:r w:rsidRPr="0053072A">
              <w:rPr>
                <w:b w:val="0"/>
                <w:sz w:val="22"/>
                <w:szCs w:val="22"/>
                <w:lang w:val="lv-LV"/>
              </w:rPr>
              <w:t>2 eksperti (analītiķis un administratīvo funkciju eksperts)</w:t>
            </w:r>
          </w:p>
        </w:tc>
        <w:tc>
          <w:tcPr>
            <w:tcW w:w="928" w:type="dxa"/>
            <w:shd w:val="clear" w:color="auto" w:fill="F2F2F2"/>
            <w:tcMar>
              <w:top w:w="100" w:type="dxa"/>
              <w:left w:w="100" w:type="dxa"/>
              <w:bottom w:w="100" w:type="dxa"/>
              <w:right w:w="100" w:type="dxa"/>
            </w:tcMar>
            <w:vAlign w:val="center"/>
          </w:tcPr>
          <w:p w14:paraId="0000009D"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9E" w14:textId="77777777" w:rsidR="007F09CB" w:rsidRPr="0053072A" w:rsidRDefault="00DB28EC" w:rsidP="00CE2AF1">
            <w:pPr>
              <w:spacing w:before="0" w:after="0"/>
              <w:jc w:val="left"/>
              <w:rPr>
                <w:b w:val="0"/>
                <w:sz w:val="22"/>
                <w:szCs w:val="22"/>
                <w:lang w:val="lv-LV"/>
              </w:rPr>
            </w:pPr>
            <w:r w:rsidRPr="0053072A">
              <w:rPr>
                <w:b w:val="0"/>
                <w:sz w:val="22"/>
                <w:szCs w:val="22"/>
                <w:lang w:val="lv-LV"/>
              </w:rPr>
              <w:t>Analītiķis (datu analītika, aprēķinu veikšana operācijām ar drošības rezervēm) un administratīvais eksperts (administratīvo funkciju nodrošināšana)</w:t>
            </w:r>
          </w:p>
        </w:tc>
        <w:tc>
          <w:tcPr>
            <w:tcW w:w="2145" w:type="dxa"/>
            <w:shd w:val="clear" w:color="auto" w:fill="F2F2F2"/>
            <w:tcMar>
              <w:top w:w="100" w:type="dxa"/>
              <w:left w:w="100" w:type="dxa"/>
              <w:bottom w:w="100" w:type="dxa"/>
              <w:right w:w="100" w:type="dxa"/>
            </w:tcMar>
            <w:vAlign w:val="center"/>
          </w:tcPr>
          <w:p w14:paraId="0000009F" w14:textId="77777777" w:rsidR="007F09CB" w:rsidRPr="0053072A" w:rsidRDefault="00DB28EC" w:rsidP="00CE2AF1">
            <w:pPr>
              <w:spacing w:before="0" w:after="0"/>
              <w:jc w:val="left"/>
              <w:rPr>
                <w:b w:val="0"/>
                <w:sz w:val="22"/>
                <w:szCs w:val="22"/>
                <w:lang w:val="lv-LV"/>
              </w:rPr>
            </w:pPr>
            <w:r w:rsidRPr="0053072A">
              <w:rPr>
                <w:b w:val="0"/>
                <w:sz w:val="22"/>
                <w:szCs w:val="22"/>
                <w:lang w:val="lv-LV"/>
              </w:rPr>
              <w:t>4 983 (3 383 + 1 600)</w:t>
            </w:r>
          </w:p>
        </w:tc>
      </w:tr>
      <w:tr w:rsidR="007F09CB" w:rsidRPr="0053072A" w14:paraId="397FD55F" w14:textId="77777777" w:rsidTr="0011743F">
        <w:trPr>
          <w:trHeight w:val="617"/>
        </w:trPr>
        <w:tc>
          <w:tcPr>
            <w:tcW w:w="2340" w:type="dxa"/>
            <w:shd w:val="clear" w:color="auto" w:fill="F2F2F2"/>
            <w:tcMar>
              <w:top w:w="100" w:type="dxa"/>
              <w:left w:w="100" w:type="dxa"/>
              <w:bottom w:w="100" w:type="dxa"/>
              <w:right w:w="100" w:type="dxa"/>
            </w:tcMar>
            <w:vAlign w:val="center"/>
          </w:tcPr>
          <w:p w14:paraId="000000A0" w14:textId="77777777" w:rsidR="007F09CB" w:rsidRPr="0053072A" w:rsidRDefault="00DB28EC" w:rsidP="00CE2AF1">
            <w:pPr>
              <w:spacing w:before="0" w:after="0"/>
              <w:jc w:val="left"/>
              <w:rPr>
                <w:b w:val="0"/>
                <w:sz w:val="22"/>
                <w:szCs w:val="22"/>
                <w:lang w:val="lv-LV"/>
              </w:rPr>
            </w:pPr>
            <w:r w:rsidRPr="0053072A">
              <w:rPr>
                <w:b w:val="0"/>
                <w:sz w:val="22"/>
                <w:szCs w:val="22"/>
                <w:lang w:val="lv-LV"/>
              </w:rPr>
              <w:t>Inspektors</w:t>
            </w:r>
          </w:p>
        </w:tc>
        <w:tc>
          <w:tcPr>
            <w:tcW w:w="928" w:type="dxa"/>
            <w:shd w:val="clear" w:color="auto" w:fill="F2F2F2"/>
            <w:tcMar>
              <w:top w:w="100" w:type="dxa"/>
              <w:left w:w="100" w:type="dxa"/>
              <w:bottom w:w="100" w:type="dxa"/>
              <w:right w:w="100" w:type="dxa"/>
            </w:tcMar>
            <w:vAlign w:val="center"/>
          </w:tcPr>
          <w:p w14:paraId="000000A1"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A2" w14:textId="77777777" w:rsidR="007F09CB" w:rsidRPr="0053072A" w:rsidRDefault="00DB28EC" w:rsidP="00CE2AF1">
            <w:pPr>
              <w:spacing w:before="0" w:after="0"/>
              <w:jc w:val="left"/>
              <w:rPr>
                <w:b w:val="0"/>
                <w:sz w:val="22"/>
                <w:szCs w:val="22"/>
                <w:lang w:val="lv-LV"/>
              </w:rPr>
            </w:pPr>
            <w:r w:rsidRPr="0053072A">
              <w:rPr>
                <w:b w:val="0"/>
                <w:sz w:val="22"/>
                <w:szCs w:val="22"/>
                <w:lang w:val="lv-LV"/>
              </w:rPr>
              <w:t>Atbild par drošības rezervju uzglabāšanas vietu apsekošanu un tehniskajiem jautājumiem</w:t>
            </w:r>
          </w:p>
        </w:tc>
        <w:tc>
          <w:tcPr>
            <w:tcW w:w="2145" w:type="dxa"/>
            <w:shd w:val="clear" w:color="auto" w:fill="F2F2F2"/>
            <w:tcMar>
              <w:top w:w="100" w:type="dxa"/>
              <w:left w:w="100" w:type="dxa"/>
              <w:bottom w:w="100" w:type="dxa"/>
              <w:right w:w="100" w:type="dxa"/>
            </w:tcMar>
            <w:vAlign w:val="center"/>
          </w:tcPr>
          <w:p w14:paraId="000000A3" w14:textId="77777777" w:rsidR="007F09CB" w:rsidRPr="0053072A" w:rsidRDefault="00DB28EC" w:rsidP="00CE2AF1">
            <w:pPr>
              <w:spacing w:before="0" w:after="0"/>
              <w:jc w:val="left"/>
              <w:rPr>
                <w:b w:val="0"/>
                <w:sz w:val="22"/>
                <w:szCs w:val="22"/>
                <w:lang w:val="lv-LV"/>
              </w:rPr>
            </w:pPr>
            <w:r w:rsidRPr="0053072A">
              <w:rPr>
                <w:b w:val="0"/>
                <w:sz w:val="22"/>
                <w:szCs w:val="22"/>
                <w:lang w:val="lv-LV"/>
              </w:rPr>
              <w:t>1600</w:t>
            </w:r>
          </w:p>
        </w:tc>
      </w:tr>
      <w:tr w:rsidR="007F09CB" w:rsidRPr="0053072A" w14:paraId="78298296" w14:textId="77777777" w:rsidTr="0011743F">
        <w:trPr>
          <w:trHeight w:val="20"/>
        </w:trPr>
        <w:tc>
          <w:tcPr>
            <w:tcW w:w="2340" w:type="dxa"/>
            <w:shd w:val="clear" w:color="auto" w:fill="F2F2F2"/>
            <w:tcMar>
              <w:top w:w="100" w:type="dxa"/>
              <w:left w:w="100" w:type="dxa"/>
              <w:bottom w:w="100" w:type="dxa"/>
              <w:right w:w="100" w:type="dxa"/>
            </w:tcMar>
            <w:vAlign w:val="center"/>
          </w:tcPr>
          <w:p w14:paraId="000000A4" w14:textId="77777777" w:rsidR="007F09CB" w:rsidRPr="0053072A" w:rsidRDefault="00DB28EC" w:rsidP="00CE2AF1">
            <w:pPr>
              <w:spacing w:before="0" w:after="0"/>
              <w:jc w:val="left"/>
              <w:rPr>
                <w:b w:val="0"/>
                <w:sz w:val="22"/>
                <w:szCs w:val="22"/>
                <w:lang w:val="lv-LV"/>
              </w:rPr>
            </w:pPr>
            <w:r w:rsidRPr="0053072A">
              <w:rPr>
                <w:b w:val="0"/>
                <w:sz w:val="22"/>
                <w:szCs w:val="22"/>
                <w:lang w:val="lv-LV"/>
              </w:rPr>
              <w:t>Vecākais juriskonsults</w:t>
            </w:r>
          </w:p>
        </w:tc>
        <w:tc>
          <w:tcPr>
            <w:tcW w:w="928" w:type="dxa"/>
            <w:shd w:val="clear" w:color="auto" w:fill="F2F2F2"/>
            <w:tcMar>
              <w:top w:w="100" w:type="dxa"/>
              <w:left w:w="100" w:type="dxa"/>
              <w:bottom w:w="100" w:type="dxa"/>
              <w:right w:w="100" w:type="dxa"/>
            </w:tcMar>
            <w:vAlign w:val="center"/>
          </w:tcPr>
          <w:p w14:paraId="000000A5"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A6" w14:textId="77777777" w:rsidR="007F09CB" w:rsidRPr="0053072A" w:rsidRDefault="00DB28EC" w:rsidP="00CE2AF1">
            <w:pPr>
              <w:spacing w:before="0" w:after="0"/>
              <w:jc w:val="left"/>
              <w:rPr>
                <w:b w:val="0"/>
                <w:sz w:val="22"/>
                <w:szCs w:val="22"/>
                <w:lang w:val="lv-LV"/>
              </w:rPr>
            </w:pPr>
            <w:r w:rsidRPr="0053072A">
              <w:rPr>
                <w:b w:val="0"/>
                <w:sz w:val="22"/>
                <w:szCs w:val="22"/>
                <w:lang w:val="lv-LV"/>
              </w:rPr>
              <w:t>Juridisko materiālu (līgumi, iepirkumu dokumentācija) pārvalde un kontrole</w:t>
            </w:r>
          </w:p>
        </w:tc>
        <w:tc>
          <w:tcPr>
            <w:tcW w:w="2145" w:type="dxa"/>
            <w:shd w:val="clear" w:color="auto" w:fill="F2F2F2"/>
            <w:tcMar>
              <w:top w:w="100" w:type="dxa"/>
              <w:left w:w="100" w:type="dxa"/>
              <w:bottom w:w="100" w:type="dxa"/>
              <w:right w:w="100" w:type="dxa"/>
            </w:tcMar>
            <w:vAlign w:val="center"/>
          </w:tcPr>
          <w:p w14:paraId="000000A7" w14:textId="77777777" w:rsidR="007F09CB" w:rsidRPr="0053072A" w:rsidRDefault="00DB28EC" w:rsidP="00CE2AF1">
            <w:pPr>
              <w:spacing w:before="0" w:after="0"/>
              <w:jc w:val="left"/>
              <w:rPr>
                <w:b w:val="0"/>
                <w:sz w:val="22"/>
                <w:szCs w:val="22"/>
                <w:lang w:val="lv-LV"/>
              </w:rPr>
            </w:pPr>
            <w:r w:rsidRPr="0053072A">
              <w:rPr>
                <w:b w:val="0"/>
                <w:sz w:val="22"/>
                <w:szCs w:val="22"/>
                <w:lang w:val="lv-LV"/>
              </w:rPr>
              <w:t>3 000</w:t>
            </w:r>
          </w:p>
        </w:tc>
      </w:tr>
      <w:tr w:rsidR="007F09CB" w:rsidRPr="0053072A" w14:paraId="6B83B5F7" w14:textId="77777777" w:rsidTr="0011743F">
        <w:trPr>
          <w:trHeight w:val="20"/>
        </w:trPr>
        <w:tc>
          <w:tcPr>
            <w:tcW w:w="2340" w:type="dxa"/>
            <w:shd w:val="clear" w:color="auto" w:fill="F2F2F2"/>
            <w:tcMar>
              <w:top w:w="100" w:type="dxa"/>
              <w:left w:w="100" w:type="dxa"/>
              <w:bottom w:w="100" w:type="dxa"/>
              <w:right w:w="100" w:type="dxa"/>
            </w:tcMar>
            <w:vAlign w:val="center"/>
          </w:tcPr>
          <w:p w14:paraId="000000A8" w14:textId="77777777" w:rsidR="007F09CB" w:rsidRPr="0053072A" w:rsidRDefault="00DB28EC" w:rsidP="00CE2AF1">
            <w:pPr>
              <w:spacing w:before="0" w:after="0"/>
              <w:jc w:val="left"/>
              <w:rPr>
                <w:b w:val="0"/>
                <w:sz w:val="22"/>
                <w:szCs w:val="22"/>
                <w:lang w:val="lv-LV"/>
              </w:rPr>
            </w:pPr>
            <w:r w:rsidRPr="0053072A">
              <w:rPr>
                <w:b w:val="0"/>
                <w:sz w:val="22"/>
                <w:szCs w:val="22"/>
                <w:lang w:val="lv-LV"/>
              </w:rPr>
              <w:t>Juriskonsults</w:t>
            </w:r>
          </w:p>
        </w:tc>
        <w:tc>
          <w:tcPr>
            <w:tcW w:w="928" w:type="dxa"/>
            <w:shd w:val="clear" w:color="auto" w:fill="F2F2F2"/>
            <w:tcMar>
              <w:top w:w="100" w:type="dxa"/>
              <w:left w:w="100" w:type="dxa"/>
              <w:bottom w:w="100" w:type="dxa"/>
              <w:right w:w="100" w:type="dxa"/>
            </w:tcMar>
            <w:vAlign w:val="center"/>
          </w:tcPr>
          <w:p w14:paraId="000000A9"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AA" w14:textId="77777777" w:rsidR="007F09CB" w:rsidRPr="0053072A" w:rsidRDefault="00DB28EC" w:rsidP="00CE2AF1">
            <w:pPr>
              <w:spacing w:before="0" w:after="0"/>
              <w:jc w:val="left"/>
              <w:rPr>
                <w:b w:val="0"/>
                <w:sz w:val="22"/>
                <w:szCs w:val="22"/>
                <w:lang w:val="lv-LV"/>
              </w:rPr>
            </w:pPr>
            <w:r w:rsidRPr="0053072A">
              <w:rPr>
                <w:b w:val="0"/>
                <w:sz w:val="22"/>
                <w:szCs w:val="22"/>
                <w:lang w:val="lv-LV"/>
              </w:rPr>
              <w:t>Iepirkumu un līgumu sagatavošana</w:t>
            </w:r>
          </w:p>
        </w:tc>
        <w:tc>
          <w:tcPr>
            <w:tcW w:w="2145" w:type="dxa"/>
            <w:shd w:val="clear" w:color="auto" w:fill="F2F2F2"/>
            <w:tcMar>
              <w:top w:w="100" w:type="dxa"/>
              <w:left w:w="100" w:type="dxa"/>
              <w:bottom w:w="100" w:type="dxa"/>
              <w:right w:w="100" w:type="dxa"/>
            </w:tcMar>
            <w:vAlign w:val="center"/>
          </w:tcPr>
          <w:p w14:paraId="000000AB" w14:textId="77777777" w:rsidR="007F09CB" w:rsidRPr="0053072A" w:rsidRDefault="00DB28EC" w:rsidP="00CE2AF1">
            <w:pPr>
              <w:spacing w:before="0" w:after="0"/>
              <w:jc w:val="left"/>
              <w:rPr>
                <w:b w:val="0"/>
                <w:sz w:val="22"/>
                <w:szCs w:val="22"/>
                <w:lang w:val="lv-LV"/>
              </w:rPr>
            </w:pPr>
            <w:r w:rsidRPr="0053072A">
              <w:rPr>
                <w:b w:val="0"/>
                <w:sz w:val="22"/>
                <w:szCs w:val="22"/>
                <w:lang w:val="lv-LV"/>
              </w:rPr>
              <w:t>2 306</w:t>
            </w:r>
          </w:p>
        </w:tc>
      </w:tr>
      <w:tr w:rsidR="007F09CB" w:rsidRPr="0053072A" w14:paraId="36E8C023" w14:textId="77777777" w:rsidTr="0011743F">
        <w:trPr>
          <w:trHeight w:val="383"/>
        </w:trPr>
        <w:tc>
          <w:tcPr>
            <w:tcW w:w="2340" w:type="dxa"/>
            <w:shd w:val="clear" w:color="auto" w:fill="F2F2F2"/>
            <w:tcMar>
              <w:top w:w="100" w:type="dxa"/>
              <w:left w:w="100" w:type="dxa"/>
              <w:bottom w:w="100" w:type="dxa"/>
              <w:right w:w="100" w:type="dxa"/>
            </w:tcMar>
            <w:vAlign w:val="center"/>
          </w:tcPr>
          <w:p w14:paraId="000000AC" w14:textId="77777777" w:rsidR="007F09CB" w:rsidRPr="0053072A" w:rsidRDefault="00DB28EC" w:rsidP="00CE2AF1">
            <w:pPr>
              <w:spacing w:before="0" w:after="0"/>
              <w:jc w:val="left"/>
              <w:rPr>
                <w:b w:val="0"/>
                <w:sz w:val="22"/>
                <w:szCs w:val="22"/>
                <w:lang w:val="lv-LV"/>
              </w:rPr>
            </w:pPr>
            <w:r w:rsidRPr="0053072A">
              <w:rPr>
                <w:b w:val="0"/>
                <w:sz w:val="22"/>
                <w:szCs w:val="22"/>
                <w:lang w:val="lv-LV"/>
              </w:rPr>
              <w:t>Grāmatvedis</w:t>
            </w:r>
          </w:p>
        </w:tc>
        <w:tc>
          <w:tcPr>
            <w:tcW w:w="928" w:type="dxa"/>
            <w:shd w:val="clear" w:color="auto" w:fill="F2F2F2"/>
            <w:tcMar>
              <w:top w:w="100" w:type="dxa"/>
              <w:left w:w="100" w:type="dxa"/>
              <w:bottom w:w="100" w:type="dxa"/>
              <w:right w:w="100" w:type="dxa"/>
            </w:tcMar>
            <w:vAlign w:val="center"/>
          </w:tcPr>
          <w:p w14:paraId="000000AD" w14:textId="77777777" w:rsidR="007F09CB" w:rsidRPr="0053072A" w:rsidRDefault="00DB28EC" w:rsidP="00CE2AF1">
            <w:pPr>
              <w:spacing w:before="0" w:after="0"/>
              <w:jc w:val="left"/>
              <w:rPr>
                <w:b w:val="0"/>
                <w:sz w:val="22"/>
                <w:szCs w:val="22"/>
                <w:lang w:val="lv-LV"/>
              </w:rPr>
            </w:pPr>
            <w:r w:rsidRPr="0053072A">
              <w:rPr>
                <w:b w:val="0"/>
                <w:sz w:val="22"/>
                <w:szCs w:val="22"/>
                <w:lang w:val="lv-LV"/>
              </w:rPr>
              <w:t>1</w:t>
            </w:r>
          </w:p>
        </w:tc>
        <w:tc>
          <w:tcPr>
            <w:tcW w:w="4140" w:type="dxa"/>
            <w:shd w:val="clear" w:color="auto" w:fill="F2F2F2"/>
            <w:tcMar>
              <w:top w:w="100" w:type="dxa"/>
              <w:left w:w="100" w:type="dxa"/>
              <w:bottom w:w="100" w:type="dxa"/>
              <w:right w:w="100" w:type="dxa"/>
            </w:tcMar>
            <w:vAlign w:val="center"/>
          </w:tcPr>
          <w:p w14:paraId="000000AE" w14:textId="77777777" w:rsidR="007F09CB" w:rsidRPr="0053072A" w:rsidRDefault="00DB28EC" w:rsidP="00CE2AF1">
            <w:pPr>
              <w:spacing w:before="0" w:after="0"/>
              <w:jc w:val="left"/>
              <w:rPr>
                <w:b w:val="0"/>
                <w:sz w:val="22"/>
                <w:szCs w:val="22"/>
                <w:lang w:val="lv-LV"/>
              </w:rPr>
            </w:pPr>
            <w:r w:rsidRPr="0053072A">
              <w:rPr>
                <w:b w:val="0"/>
                <w:sz w:val="22"/>
                <w:szCs w:val="22"/>
                <w:lang w:val="lv-LV"/>
              </w:rPr>
              <w:t>Finanšu datu ievade, organizēšana, gada pārskatu sagatavošana</w:t>
            </w:r>
          </w:p>
        </w:tc>
        <w:tc>
          <w:tcPr>
            <w:tcW w:w="2145" w:type="dxa"/>
            <w:shd w:val="clear" w:color="auto" w:fill="F2F2F2"/>
            <w:tcMar>
              <w:top w:w="100" w:type="dxa"/>
              <w:left w:w="100" w:type="dxa"/>
              <w:bottom w:w="100" w:type="dxa"/>
              <w:right w:w="100" w:type="dxa"/>
            </w:tcMar>
            <w:vAlign w:val="center"/>
          </w:tcPr>
          <w:p w14:paraId="000000AF" w14:textId="77777777" w:rsidR="007F09CB" w:rsidRPr="0053072A" w:rsidRDefault="00DB28EC" w:rsidP="00CE2AF1">
            <w:pPr>
              <w:spacing w:before="0" w:after="0"/>
              <w:jc w:val="left"/>
              <w:rPr>
                <w:b w:val="0"/>
                <w:sz w:val="22"/>
                <w:szCs w:val="22"/>
                <w:lang w:val="lv-LV"/>
              </w:rPr>
            </w:pPr>
            <w:r w:rsidRPr="0053072A">
              <w:rPr>
                <w:b w:val="0"/>
                <w:sz w:val="22"/>
                <w:szCs w:val="22"/>
                <w:lang w:val="lv-LV"/>
              </w:rPr>
              <w:t>2 211</w:t>
            </w:r>
          </w:p>
        </w:tc>
      </w:tr>
      <w:tr w:rsidR="007F09CB" w:rsidRPr="0053072A" w14:paraId="1A1FDEDA" w14:textId="77777777" w:rsidTr="0011743F">
        <w:trPr>
          <w:trHeight w:val="20"/>
        </w:trPr>
        <w:tc>
          <w:tcPr>
            <w:tcW w:w="2340" w:type="dxa"/>
            <w:shd w:val="clear" w:color="auto" w:fill="F2F2F2"/>
            <w:tcMar>
              <w:top w:w="100" w:type="dxa"/>
              <w:left w:w="100" w:type="dxa"/>
              <w:bottom w:w="100" w:type="dxa"/>
              <w:right w:w="100" w:type="dxa"/>
            </w:tcMar>
            <w:vAlign w:val="center"/>
          </w:tcPr>
          <w:p w14:paraId="000000B0" w14:textId="77777777" w:rsidR="007F09CB" w:rsidRPr="0053072A" w:rsidRDefault="00DB28EC" w:rsidP="00CE2AF1">
            <w:pPr>
              <w:spacing w:before="0" w:after="0"/>
              <w:jc w:val="left"/>
              <w:rPr>
                <w:b w:val="0"/>
                <w:sz w:val="22"/>
                <w:szCs w:val="22"/>
                <w:lang w:val="lv-LV"/>
              </w:rPr>
            </w:pPr>
            <w:r w:rsidRPr="0053072A">
              <w:rPr>
                <w:b w:val="0"/>
                <w:sz w:val="22"/>
                <w:szCs w:val="22"/>
                <w:lang w:val="lv-LV"/>
              </w:rPr>
              <w:t>Kopējais algu budžets, mēnesī</w:t>
            </w:r>
          </w:p>
        </w:tc>
        <w:tc>
          <w:tcPr>
            <w:tcW w:w="928" w:type="dxa"/>
            <w:shd w:val="clear" w:color="auto" w:fill="F2F2F2"/>
            <w:tcMar>
              <w:top w:w="100" w:type="dxa"/>
              <w:left w:w="100" w:type="dxa"/>
              <w:bottom w:w="100" w:type="dxa"/>
              <w:right w:w="100" w:type="dxa"/>
            </w:tcMar>
            <w:vAlign w:val="center"/>
          </w:tcPr>
          <w:p w14:paraId="000000B1" w14:textId="77777777" w:rsidR="007F09CB" w:rsidRPr="0053072A" w:rsidRDefault="00DB28EC" w:rsidP="00CE2AF1">
            <w:pPr>
              <w:spacing w:before="0" w:after="0"/>
              <w:jc w:val="left"/>
              <w:rPr>
                <w:b w:val="0"/>
                <w:sz w:val="22"/>
                <w:szCs w:val="22"/>
                <w:lang w:val="lv-LV"/>
              </w:rPr>
            </w:pPr>
            <w:r w:rsidRPr="0053072A">
              <w:rPr>
                <w:b w:val="0"/>
                <w:sz w:val="22"/>
                <w:szCs w:val="22"/>
                <w:lang w:val="lv-LV"/>
              </w:rPr>
              <w:t xml:space="preserve"> </w:t>
            </w:r>
          </w:p>
        </w:tc>
        <w:tc>
          <w:tcPr>
            <w:tcW w:w="4140" w:type="dxa"/>
            <w:shd w:val="clear" w:color="auto" w:fill="F2F2F2"/>
            <w:tcMar>
              <w:top w:w="100" w:type="dxa"/>
              <w:left w:w="100" w:type="dxa"/>
              <w:bottom w:w="100" w:type="dxa"/>
              <w:right w:w="100" w:type="dxa"/>
            </w:tcMar>
          </w:tcPr>
          <w:p w14:paraId="000000B2" w14:textId="77777777" w:rsidR="007F09CB" w:rsidRPr="0053072A" w:rsidRDefault="00DB28EC">
            <w:pPr>
              <w:spacing w:before="0" w:after="0"/>
              <w:rPr>
                <w:b w:val="0"/>
                <w:sz w:val="22"/>
                <w:szCs w:val="22"/>
                <w:lang w:val="lv-LV"/>
              </w:rPr>
            </w:pPr>
            <w:r w:rsidRPr="0053072A">
              <w:rPr>
                <w:b w:val="0"/>
                <w:sz w:val="22"/>
                <w:szCs w:val="22"/>
                <w:lang w:val="lv-LV"/>
              </w:rPr>
              <w:t xml:space="preserve"> </w:t>
            </w:r>
          </w:p>
        </w:tc>
        <w:tc>
          <w:tcPr>
            <w:tcW w:w="2145" w:type="dxa"/>
            <w:shd w:val="clear" w:color="auto" w:fill="F2F2F2"/>
            <w:tcMar>
              <w:top w:w="100" w:type="dxa"/>
              <w:left w:w="100" w:type="dxa"/>
              <w:bottom w:w="100" w:type="dxa"/>
              <w:right w:w="100" w:type="dxa"/>
            </w:tcMar>
            <w:vAlign w:val="center"/>
          </w:tcPr>
          <w:p w14:paraId="000000B3" w14:textId="77777777" w:rsidR="007F09CB" w:rsidRPr="0053072A" w:rsidRDefault="00DB28EC" w:rsidP="00CE2AF1">
            <w:pPr>
              <w:spacing w:before="0" w:after="0"/>
              <w:jc w:val="left"/>
              <w:rPr>
                <w:b w:val="0"/>
                <w:sz w:val="22"/>
                <w:szCs w:val="22"/>
                <w:lang w:val="lv-LV"/>
              </w:rPr>
            </w:pPr>
            <w:r w:rsidRPr="0053072A">
              <w:rPr>
                <w:b w:val="0"/>
                <w:sz w:val="22"/>
                <w:szCs w:val="22"/>
                <w:lang w:val="lv-LV"/>
              </w:rPr>
              <w:t>20 900</w:t>
            </w:r>
          </w:p>
        </w:tc>
      </w:tr>
      <w:tr w:rsidR="007F09CB" w:rsidRPr="0053072A" w14:paraId="53B50665" w14:textId="77777777" w:rsidTr="0011743F">
        <w:trPr>
          <w:trHeight w:val="1103"/>
        </w:trPr>
        <w:tc>
          <w:tcPr>
            <w:tcW w:w="2340" w:type="dxa"/>
            <w:shd w:val="clear" w:color="auto" w:fill="F2F2F2"/>
            <w:tcMar>
              <w:top w:w="100" w:type="dxa"/>
              <w:left w:w="100" w:type="dxa"/>
              <w:bottom w:w="100" w:type="dxa"/>
              <w:right w:w="100" w:type="dxa"/>
            </w:tcMar>
            <w:vAlign w:val="center"/>
          </w:tcPr>
          <w:p w14:paraId="000000B4" w14:textId="77777777" w:rsidR="007F09CB" w:rsidRPr="0053072A" w:rsidRDefault="00DB28EC" w:rsidP="00CE2AF1">
            <w:pPr>
              <w:spacing w:before="0" w:after="0"/>
              <w:jc w:val="left"/>
              <w:rPr>
                <w:b w:val="0"/>
                <w:sz w:val="22"/>
                <w:szCs w:val="22"/>
                <w:lang w:val="lv-LV"/>
              </w:rPr>
            </w:pPr>
            <w:r w:rsidRPr="0053072A">
              <w:rPr>
                <w:b w:val="0"/>
                <w:sz w:val="22"/>
                <w:szCs w:val="22"/>
                <w:lang w:val="lv-LV"/>
              </w:rPr>
              <w:t>Iespējamas vienreizējas gada piemaksas 65% apmērā no mēnešalgas</w:t>
            </w:r>
          </w:p>
        </w:tc>
        <w:tc>
          <w:tcPr>
            <w:tcW w:w="928" w:type="dxa"/>
            <w:shd w:val="clear" w:color="auto" w:fill="F2F2F2"/>
            <w:tcMar>
              <w:top w:w="100" w:type="dxa"/>
              <w:left w:w="100" w:type="dxa"/>
              <w:bottom w:w="100" w:type="dxa"/>
              <w:right w:w="100" w:type="dxa"/>
            </w:tcMar>
            <w:vAlign w:val="center"/>
          </w:tcPr>
          <w:p w14:paraId="000000B5" w14:textId="77777777" w:rsidR="007F09CB" w:rsidRPr="0053072A" w:rsidRDefault="007F09CB" w:rsidP="00CE2AF1">
            <w:pPr>
              <w:spacing w:before="0" w:after="0"/>
              <w:jc w:val="left"/>
              <w:rPr>
                <w:b w:val="0"/>
                <w:sz w:val="22"/>
                <w:szCs w:val="22"/>
                <w:lang w:val="lv-LV"/>
              </w:rPr>
            </w:pPr>
          </w:p>
        </w:tc>
        <w:tc>
          <w:tcPr>
            <w:tcW w:w="4140" w:type="dxa"/>
            <w:shd w:val="clear" w:color="auto" w:fill="F2F2F2"/>
            <w:tcMar>
              <w:top w:w="100" w:type="dxa"/>
              <w:left w:w="100" w:type="dxa"/>
              <w:bottom w:w="100" w:type="dxa"/>
              <w:right w:w="100" w:type="dxa"/>
            </w:tcMar>
          </w:tcPr>
          <w:p w14:paraId="000000B6" w14:textId="77777777" w:rsidR="007F09CB" w:rsidRPr="0053072A" w:rsidRDefault="007F09CB">
            <w:pPr>
              <w:spacing w:before="0" w:after="0"/>
              <w:rPr>
                <w:b w:val="0"/>
                <w:sz w:val="22"/>
                <w:szCs w:val="22"/>
                <w:lang w:val="lv-LV"/>
              </w:rPr>
            </w:pPr>
          </w:p>
        </w:tc>
        <w:tc>
          <w:tcPr>
            <w:tcW w:w="2145" w:type="dxa"/>
            <w:shd w:val="clear" w:color="auto" w:fill="F2F2F2"/>
            <w:tcMar>
              <w:top w:w="100" w:type="dxa"/>
              <w:left w:w="100" w:type="dxa"/>
              <w:bottom w:w="100" w:type="dxa"/>
              <w:right w:w="100" w:type="dxa"/>
            </w:tcMar>
            <w:vAlign w:val="center"/>
          </w:tcPr>
          <w:p w14:paraId="000000B7" w14:textId="77777777" w:rsidR="007F09CB" w:rsidRPr="0053072A" w:rsidRDefault="00DB28EC" w:rsidP="00CE2AF1">
            <w:pPr>
              <w:spacing w:before="0" w:after="0"/>
              <w:jc w:val="left"/>
              <w:rPr>
                <w:b w:val="0"/>
                <w:sz w:val="22"/>
                <w:szCs w:val="22"/>
                <w:lang w:val="lv-LV"/>
              </w:rPr>
            </w:pPr>
            <w:r w:rsidRPr="0053072A">
              <w:rPr>
                <w:b w:val="0"/>
                <w:sz w:val="22"/>
                <w:szCs w:val="22"/>
                <w:lang w:val="lv-LV"/>
              </w:rPr>
              <w:t>13 585</w:t>
            </w:r>
          </w:p>
        </w:tc>
      </w:tr>
      <w:tr w:rsidR="007F09CB" w:rsidRPr="0053072A" w14:paraId="62C3292E" w14:textId="77777777" w:rsidTr="0011743F">
        <w:trPr>
          <w:trHeight w:val="494"/>
        </w:trPr>
        <w:tc>
          <w:tcPr>
            <w:tcW w:w="2340" w:type="dxa"/>
            <w:shd w:val="clear" w:color="auto" w:fill="ABCD3A"/>
            <w:tcMar>
              <w:top w:w="100" w:type="dxa"/>
              <w:left w:w="100" w:type="dxa"/>
              <w:bottom w:w="100" w:type="dxa"/>
              <w:right w:w="100" w:type="dxa"/>
            </w:tcMar>
            <w:vAlign w:val="center"/>
          </w:tcPr>
          <w:p w14:paraId="000000B8" w14:textId="77777777" w:rsidR="007F09CB" w:rsidRPr="0053072A" w:rsidRDefault="00DB28EC" w:rsidP="00CE2AF1">
            <w:pPr>
              <w:spacing w:before="0" w:after="0"/>
              <w:jc w:val="left"/>
              <w:rPr>
                <w:b w:val="0"/>
                <w:sz w:val="22"/>
                <w:szCs w:val="22"/>
                <w:lang w:val="lv-LV"/>
              </w:rPr>
            </w:pPr>
            <w:r w:rsidRPr="0053072A">
              <w:rPr>
                <w:b w:val="0"/>
                <w:sz w:val="22"/>
                <w:szCs w:val="22"/>
                <w:lang w:val="lv-LV"/>
              </w:rPr>
              <w:t>Kopējais algu budžets, 2022. gadā</w:t>
            </w:r>
          </w:p>
        </w:tc>
        <w:tc>
          <w:tcPr>
            <w:tcW w:w="928" w:type="dxa"/>
            <w:shd w:val="clear" w:color="auto" w:fill="ABCD3A"/>
            <w:tcMar>
              <w:top w:w="100" w:type="dxa"/>
              <w:left w:w="100" w:type="dxa"/>
              <w:bottom w:w="100" w:type="dxa"/>
              <w:right w:w="100" w:type="dxa"/>
            </w:tcMar>
            <w:vAlign w:val="center"/>
          </w:tcPr>
          <w:p w14:paraId="000000B9" w14:textId="77777777" w:rsidR="007F09CB" w:rsidRPr="0053072A" w:rsidRDefault="00DB28EC" w:rsidP="00CE2AF1">
            <w:pPr>
              <w:spacing w:before="0" w:after="0"/>
              <w:jc w:val="left"/>
              <w:rPr>
                <w:b w:val="0"/>
                <w:sz w:val="22"/>
                <w:szCs w:val="22"/>
                <w:lang w:val="lv-LV"/>
              </w:rPr>
            </w:pPr>
            <w:r w:rsidRPr="0053072A">
              <w:rPr>
                <w:b w:val="0"/>
                <w:sz w:val="22"/>
                <w:szCs w:val="22"/>
                <w:lang w:val="lv-LV"/>
              </w:rPr>
              <w:t xml:space="preserve"> </w:t>
            </w:r>
          </w:p>
        </w:tc>
        <w:tc>
          <w:tcPr>
            <w:tcW w:w="4140" w:type="dxa"/>
            <w:shd w:val="clear" w:color="auto" w:fill="ABCD3A"/>
            <w:tcMar>
              <w:top w:w="100" w:type="dxa"/>
              <w:left w:w="100" w:type="dxa"/>
              <w:bottom w:w="100" w:type="dxa"/>
              <w:right w:w="100" w:type="dxa"/>
            </w:tcMar>
          </w:tcPr>
          <w:p w14:paraId="000000BA" w14:textId="77777777" w:rsidR="007F09CB" w:rsidRPr="0053072A" w:rsidRDefault="00DB28EC">
            <w:pPr>
              <w:spacing w:before="0" w:after="0"/>
              <w:rPr>
                <w:b w:val="0"/>
                <w:sz w:val="22"/>
                <w:szCs w:val="22"/>
                <w:lang w:val="lv-LV"/>
              </w:rPr>
            </w:pPr>
            <w:r w:rsidRPr="0053072A">
              <w:rPr>
                <w:b w:val="0"/>
                <w:sz w:val="22"/>
                <w:szCs w:val="22"/>
                <w:lang w:val="lv-LV"/>
              </w:rPr>
              <w:t xml:space="preserve"> </w:t>
            </w:r>
          </w:p>
        </w:tc>
        <w:tc>
          <w:tcPr>
            <w:tcW w:w="2145" w:type="dxa"/>
            <w:shd w:val="clear" w:color="auto" w:fill="ABCD3A"/>
            <w:tcMar>
              <w:top w:w="100" w:type="dxa"/>
              <w:left w:w="100" w:type="dxa"/>
              <w:bottom w:w="100" w:type="dxa"/>
              <w:right w:w="100" w:type="dxa"/>
            </w:tcMar>
            <w:vAlign w:val="center"/>
          </w:tcPr>
          <w:p w14:paraId="000000BB" w14:textId="77777777" w:rsidR="007F09CB" w:rsidRPr="0053072A" w:rsidRDefault="00DB28EC" w:rsidP="00CE2AF1">
            <w:pPr>
              <w:spacing w:before="0" w:after="0"/>
              <w:jc w:val="left"/>
              <w:rPr>
                <w:b w:val="0"/>
                <w:sz w:val="22"/>
                <w:szCs w:val="22"/>
                <w:lang w:val="lv-LV"/>
              </w:rPr>
            </w:pPr>
            <w:r w:rsidRPr="0053072A">
              <w:rPr>
                <w:b w:val="0"/>
                <w:sz w:val="22"/>
                <w:szCs w:val="22"/>
                <w:lang w:val="lv-LV"/>
              </w:rPr>
              <w:t>264 385</w:t>
            </w:r>
          </w:p>
        </w:tc>
      </w:tr>
    </w:tbl>
    <w:p w14:paraId="000000BC" w14:textId="77777777" w:rsidR="007F09CB" w:rsidRPr="0053072A" w:rsidRDefault="007F09CB">
      <w:pPr>
        <w:spacing w:after="0"/>
        <w:jc w:val="left"/>
        <w:rPr>
          <w:rFonts w:ascii="Times New Roman" w:eastAsia="Times New Roman" w:hAnsi="Times New Roman" w:cs="Times New Roman"/>
          <w:sz w:val="24"/>
          <w:szCs w:val="24"/>
          <w:lang w:val="lv-LV"/>
        </w:rPr>
      </w:pPr>
    </w:p>
    <w:p w14:paraId="000000BD" w14:textId="77777777" w:rsidR="007F09CB" w:rsidRPr="0053072A" w:rsidRDefault="00DB28EC" w:rsidP="00CE2AF1">
      <w:pPr>
        <w:pStyle w:val="Bottomcaption"/>
        <w:framePr w:wrap="around"/>
        <w:rPr>
          <w:lang w:val="lv-LV"/>
        </w:rPr>
      </w:pPr>
      <w:r w:rsidRPr="0053072A">
        <w:rPr>
          <w:lang w:val="lv-LV"/>
        </w:rPr>
        <w:t>Avots: pētījuma autoru aprēķini, Aģentūras iespējamo formu salīdzinājums naftas produktu rezervju pārvaldes funkciju nodrošināšanai</w:t>
      </w:r>
    </w:p>
    <w:p w14:paraId="000000BE" w14:textId="77777777" w:rsidR="007F09CB" w:rsidRPr="0053072A" w:rsidRDefault="00DB28EC">
      <w:pPr>
        <w:pBdr>
          <w:top w:val="nil"/>
          <w:left w:val="nil"/>
          <w:bottom w:val="nil"/>
          <w:right w:val="nil"/>
          <w:between w:val="nil"/>
        </w:pBdr>
        <w:rPr>
          <w:lang w:val="lv-LV"/>
        </w:rPr>
      </w:pPr>
      <w:r w:rsidRPr="0053072A">
        <w:rPr>
          <w:lang w:val="lv-LV"/>
        </w:rPr>
        <w:t xml:space="preserve">Balstoties uz pētījuma pirmajā nodevumā apkopoto informāciju, tiek secināts, ka efektīvāko drošības rezervju pārvaldes procesu spēj nodrošināt aģentūras izveide uz jau esošas kapitālsabiedrības bāzes – šajā gadījumā uz Sabiedrības ar ierobežotu atbildību “Publisko aktīvu pārvaldītājs Possessor” (turpmāk – </w:t>
      </w:r>
      <w:r w:rsidRPr="0053072A">
        <w:rPr>
          <w:lang w:val="lv-LV"/>
        </w:rPr>
        <w:lastRenderedPageBreak/>
        <w:t xml:space="preserve">Possessor) bāzes. Šādā gadījumā svarīga ir Possessor līdzšinējā pieredze aktīvu pārvaldībā un iepirkumu veikšanā, atbilstoša personāla struktūra, iespēja piesaistīt finansējumu uz izdevīgākiem nosacījumiem nekā jaunā kapitālsabiedrībā un iespēja lemt par esošās darbības nesadalītās peļņas daļēju novirzīšanu drošības rezervju iegādei. Kā nākamie augstāk novērtētie scenāriji ir jaunas, atsevišķas kapitālsabiedrības izveide. Balstoties uz izvērtēto alternatīvu rezultātiem, tālāk tiek norādīti galvenie soļi sadalījumā pa galvenajām darbības grupām, kas jāīsteno, lai notiktu pāreja uz aģentūras modeli: </w:t>
      </w:r>
    </w:p>
    <w:p w14:paraId="000000BF" w14:textId="77777777" w:rsidR="007F09CB" w:rsidRPr="0053072A" w:rsidRDefault="00DB28EC" w:rsidP="00CB2248">
      <w:pPr>
        <w:pStyle w:val="Focus"/>
        <w:rPr>
          <w:lang w:val="lv-LV"/>
        </w:rPr>
      </w:pPr>
      <w:r w:rsidRPr="0053072A">
        <w:rPr>
          <w:lang w:val="lv-LV"/>
        </w:rPr>
        <w:t>Vispārīgie soļi:</w:t>
      </w:r>
    </w:p>
    <w:p w14:paraId="000000C0" w14:textId="4B676EB8" w:rsidR="007F09CB" w:rsidRPr="0053072A" w:rsidRDefault="00DB28EC">
      <w:pPr>
        <w:numPr>
          <w:ilvl w:val="0"/>
          <w:numId w:val="24"/>
        </w:numPr>
        <w:shd w:val="clear" w:color="auto" w:fill="FFFFFF"/>
        <w:rPr>
          <w:lang w:val="lv-LV"/>
        </w:rPr>
      </w:pPr>
      <w:r w:rsidRPr="0053072A">
        <w:rPr>
          <w:lang w:val="lv-LV"/>
        </w:rPr>
        <w:t xml:space="preserve">Sākotnēji </w:t>
      </w:r>
      <w:r w:rsidR="0053072A">
        <w:rPr>
          <w:lang w:val="lv-LV"/>
        </w:rPr>
        <w:t>EM</w:t>
      </w:r>
      <w:r w:rsidRPr="0053072A">
        <w:rPr>
          <w:lang w:val="lv-LV"/>
        </w:rPr>
        <w:t xml:space="preserve"> nepieciešams izstrādāt un iesniegt izskatīšanai MK konceptuālo ziņojumu </w:t>
      </w:r>
      <w:r w:rsidR="00CB2248">
        <w:rPr>
          <w:lang w:val="lv-LV"/>
        </w:rPr>
        <w:t>(</w:t>
      </w:r>
      <w:r w:rsidRPr="00CB2248">
        <w:rPr>
          <w:lang w:val="lv-LV"/>
        </w:rPr>
        <w:t>ar MK protokola lēmumu</w:t>
      </w:r>
      <w:r w:rsidR="00CB2248">
        <w:rPr>
          <w:lang w:val="lv-LV"/>
        </w:rPr>
        <w:t>)</w:t>
      </w:r>
      <w:r w:rsidRPr="0053072A">
        <w:rPr>
          <w:lang w:val="lv-LV"/>
        </w:rPr>
        <w:t>, kura ietvaros tiek skatīti iespējami risinājumi aģentūras formai un skatīta tās iespējamā darbība.</w:t>
      </w:r>
    </w:p>
    <w:p w14:paraId="000000C1" w14:textId="77777777" w:rsidR="007F09CB" w:rsidRPr="0053072A" w:rsidRDefault="00DB28EC" w:rsidP="00CB2248">
      <w:pPr>
        <w:pStyle w:val="Focus"/>
        <w:rPr>
          <w:lang w:val="lv-LV"/>
        </w:rPr>
      </w:pPr>
      <w:r w:rsidRPr="0053072A">
        <w:rPr>
          <w:lang w:val="lv-LV"/>
        </w:rPr>
        <w:t>Veicamās izmaiņas saistībā ar valsts nodevu:</w:t>
      </w:r>
    </w:p>
    <w:p w14:paraId="000000C2" w14:textId="77777777" w:rsidR="007F09CB" w:rsidRPr="0053072A" w:rsidRDefault="00DB28EC">
      <w:pPr>
        <w:numPr>
          <w:ilvl w:val="0"/>
          <w:numId w:val="24"/>
        </w:numPr>
        <w:shd w:val="clear" w:color="auto" w:fill="FFFFFF"/>
        <w:rPr>
          <w:lang w:val="lv-LV"/>
        </w:rPr>
      </w:pPr>
      <w:r w:rsidRPr="0053072A">
        <w:rPr>
          <w:lang w:val="lv-LV"/>
        </w:rPr>
        <w:t>Paredzot valsts nodevas ieņēmumus uzkrāt nākamajiem periodiem, ir jāparedz, ka šie ieņēmumi tiek uzkrāti finanšu rezervēs ar mērķi samazināt finanšu risku, kas saistīts ar finanšu operācijām, kā ari lai spētu iepirkt nākamajos periodos nepieciešamās drošības rezerves. Tādā veidā valsts nodevas pārpalikuma summas uzkrājums netiek uzskatīts par nesadalīto peļņu;</w:t>
      </w:r>
    </w:p>
    <w:p w14:paraId="000000C3" w14:textId="77777777" w:rsidR="007F09CB" w:rsidRPr="0053072A" w:rsidRDefault="00DB28EC">
      <w:pPr>
        <w:numPr>
          <w:ilvl w:val="0"/>
          <w:numId w:val="24"/>
        </w:numPr>
        <w:shd w:val="clear" w:color="auto" w:fill="FFFFFF"/>
        <w:rPr>
          <w:lang w:val="lv-LV"/>
        </w:rPr>
      </w:pPr>
      <w:r w:rsidRPr="0053072A">
        <w:rPr>
          <w:lang w:val="lv-LV"/>
        </w:rPr>
        <w:t>Paredzot novirzīt papildu subsīdijas no budžeta, Possessor jāparedz jauna slēgta tipa kapitāldaļu izlaišana, to apstiprinot ar valdes lēmumu. Sekojoši valsts iegādājas pamatkapitāla daļas par attiecīgo summu, ko paredzēts novirzīt no budžeta līdzekļiem. Šādā veidā valsts var piešķirt aģentūrai papildu budžeta līdzekļus, palielinot Possessor pamatkapitālu;</w:t>
      </w:r>
    </w:p>
    <w:p w14:paraId="000000C4" w14:textId="77777777" w:rsidR="007F09CB" w:rsidRPr="0053072A" w:rsidRDefault="00DB28EC">
      <w:pPr>
        <w:numPr>
          <w:ilvl w:val="0"/>
          <w:numId w:val="24"/>
        </w:numPr>
        <w:shd w:val="clear" w:color="auto" w:fill="FFFFFF"/>
        <w:rPr>
          <w:lang w:val="lv-LV"/>
        </w:rPr>
      </w:pPr>
      <w:r w:rsidRPr="0053072A">
        <w:rPr>
          <w:lang w:val="lv-LV"/>
        </w:rPr>
        <w:t>Gadījumā, ja tiek paredzētas izmaiņas valsts nodevas likmes apjomā, veicamas izmaiņas MK 2011. gada 14. jūnija noteikumu Nr. 450 “Noteikumi par valsts naftas produktu rezervju apmēru, apmēru, kādā maksājama valsts nodeva par drošības rezervju uzturēšanu, kā arī tās aprēķināšanas, maksāšanas un administrēšanas kārtību” 5. punktā. Tādā gadījumā nepieciešams aktualizēt arī šo pašu noteikumu 13. punktu.</w:t>
      </w:r>
    </w:p>
    <w:p w14:paraId="000000C6" w14:textId="77777777" w:rsidR="007F09CB" w:rsidRPr="0053072A" w:rsidRDefault="00DB28EC" w:rsidP="00CB2248">
      <w:pPr>
        <w:pStyle w:val="Focus"/>
        <w:rPr>
          <w:lang w:val="lv-LV"/>
        </w:rPr>
      </w:pPr>
      <w:r w:rsidRPr="0053072A">
        <w:rPr>
          <w:lang w:val="lv-LV"/>
        </w:rPr>
        <w:t>Veicamās izmaiņas saistībā ar pētījumā ieteikto funkciju pārdali (funkciju nodošana Possessor):</w:t>
      </w:r>
    </w:p>
    <w:p w14:paraId="000000C7" w14:textId="77777777" w:rsidR="007F09CB" w:rsidRPr="0053072A" w:rsidRDefault="00DB28EC">
      <w:pPr>
        <w:numPr>
          <w:ilvl w:val="0"/>
          <w:numId w:val="24"/>
        </w:numPr>
        <w:shd w:val="clear" w:color="auto" w:fill="FFFFFF"/>
        <w:rPr>
          <w:lang w:val="lv-LV"/>
        </w:rPr>
      </w:pPr>
      <w:r w:rsidRPr="0053072A">
        <w:rPr>
          <w:lang w:val="lv-LV"/>
        </w:rPr>
        <w:t>Jāsasauc Possessor valdes sapulce, kurā jālemj par jauna departamenta izveidi un atbilstošu amata vietu pienākumu papildināšanu, kā pamatu ir iespējams izmantot šajā nodaļā identificēto optimālo struktūru;</w:t>
      </w:r>
    </w:p>
    <w:p w14:paraId="000000C8" w14:textId="77777777" w:rsidR="007F09CB" w:rsidRPr="0053072A" w:rsidRDefault="00DB28EC">
      <w:pPr>
        <w:numPr>
          <w:ilvl w:val="0"/>
          <w:numId w:val="24"/>
        </w:numPr>
        <w:shd w:val="clear" w:color="auto" w:fill="FFFFFF"/>
        <w:rPr>
          <w:lang w:val="lv-LV"/>
        </w:rPr>
      </w:pPr>
      <w:r w:rsidRPr="0053072A">
        <w:rPr>
          <w:lang w:val="lv-LV"/>
        </w:rPr>
        <w:t>Jaunu departamentu izveido balstoties uz valdes sapulces protokolu un tā ir iekšēja uzņēmuma struktūra;</w:t>
      </w:r>
    </w:p>
    <w:p w14:paraId="000000C9" w14:textId="5470F98D" w:rsidR="007F09CB" w:rsidRPr="0053072A" w:rsidRDefault="00DB28EC">
      <w:pPr>
        <w:numPr>
          <w:ilvl w:val="0"/>
          <w:numId w:val="24"/>
        </w:numPr>
        <w:shd w:val="clear" w:color="auto" w:fill="FFFFFF"/>
        <w:rPr>
          <w:lang w:val="lv-LV"/>
        </w:rPr>
      </w:pPr>
      <w:r w:rsidRPr="0053072A">
        <w:rPr>
          <w:lang w:val="lv-LV"/>
        </w:rPr>
        <w:t>Atbilstošām amata vietām jāpapildina amata apraksti un jāveic darba atalgojuma pārskatīšana. Amata pozīcijām, kuras paredzēts pievienot, izveido amata aprakstus un nosaka atalgojuma līmeni</w:t>
      </w:r>
      <w:r w:rsidR="0011743F">
        <w:rPr>
          <w:lang w:val="lv-LV"/>
        </w:rPr>
        <w:t>;</w:t>
      </w:r>
    </w:p>
    <w:p w14:paraId="000000CA" w14:textId="701EFB3A" w:rsidR="007F09CB" w:rsidRPr="0053072A" w:rsidRDefault="00DB28EC">
      <w:pPr>
        <w:numPr>
          <w:ilvl w:val="0"/>
          <w:numId w:val="24"/>
        </w:numPr>
        <w:shd w:val="clear" w:color="auto" w:fill="FFFFFF"/>
        <w:rPr>
          <w:lang w:val="lv-LV"/>
        </w:rPr>
      </w:pPr>
      <w:r w:rsidRPr="0053072A">
        <w:rPr>
          <w:lang w:val="lv-LV"/>
        </w:rPr>
        <w:t>Nepieciešams veikt esošo darbinieku atlasi gan izvērtējot potenciālos darbiniekus, kas jau pašreiz veic līdzīgas funkcijas, gan arī izvērtējot jaunu kandidātu atlasi</w:t>
      </w:r>
      <w:r w:rsidR="0011743F">
        <w:rPr>
          <w:lang w:val="lv-LV"/>
        </w:rPr>
        <w:t>.</w:t>
      </w:r>
    </w:p>
    <w:p w14:paraId="000000CB" w14:textId="77777777" w:rsidR="007F09CB" w:rsidRPr="0053072A" w:rsidRDefault="00DB28EC" w:rsidP="00CB2248">
      <w:pPr>
        <w:pStyle w:val="Focus"/>
        <w:rPr>
          <w:lang w:val="lv-LV"/>
        </w:rPr>
      </w:pPr>
      <w:r w:rsidRPr="0053072A">
        <w:rPr>
          <w:lang w:val="lv-LV"/>
        </w:rPr>
        <w:t>Veicamās izmaiņas saistībā ar pētījumā ieteikto funkciju pārdali (funkciju nodošana no BVKB):</w:t>
      </w:r>
    </w:p>
    <w:p w14:paraId="000000CC" w14:textId="150BCA61" w:rsidR="007F09CB" w:rsidRPr="0053072A" w:rsidRDefault="00DB28EC">
      <w:pPr>
        <w:numPr>
          <w:ilvl w:val="0"/>
          <w:numId w:val="24"/>
        </w:numPr>
        <w:rPr>
          <w:lang w:val="lv-LV"/>
        </w:rPr>
      </w:pPr>
      <w:r w:rsidRPr="0053072A">
        <w:rPr>
          <w:lang w:val="lv-LV"/>
        </w:rPr>
        <w:t>Jālemj par BVKB naftas produktu kontroles nodaļas darbības izbeigšanu un nodaļas funkciju nodošanu jaunajai struktūrai;</w:t>
      </w:r>
      <w:r w:rsidR="0053072A">
        <w:rPr>
          <w:lang w:val="lv-LV"/>
        </w:rPr>
        <w:t xml:space="preserve"> lai veiktu šo soli, </w:t>
      </w:r>
      <w:r w:rsidR="0053072A" w:rsidRPr="0053072A">
        <w:rPr>
          <w:lang w:val="lv-LV"/>
        </w:rPr>
        <w:t>ir</w:t>
      </w:r>
      <w:r w:rsidRPr="0053072A">
        <w:rPr>
          <w:lang w:val="lv-LV"/>
        </w:rPr>
        <w:t xml:space="preserve"> </w:t>
      </w:r>
      <w:r w:rsidR="0053072A" w:rsidRPr="0053072A">
        <w:rPr>
          <w:lang w:val="lv-LV"/>
        </w:rPr>
        <w:t>jāparedz</w:t>
      </w:r>
      <w:r w:rsidRPr="0053072A">
        <w:rPr>
          <w:lang w:val="lv-LV"/>
        </w:rPr>
        <w:t xml:space="preserve"> finansējum</w:t>
      </w:r>
      <w:r w:rsidR="0053072A" w:rsidRPr="0053072A">
        <w:rPr>
          <w:lang w:val="lv-LV"/>
        </w:rPr>
        <w:t>s darbinieku kompensācijām</w:t>
      </w:r>
      <w:r w:rsidRPr="0053072A">
        <w:rPr>
          <w:lang w:val="lv-LV"/>
        </w:rPr>
        <w:t xml:space="preserve"> kompensācijām. vai </w:t>
      </w:r>
      <w:r w:rsidR="0053072A" w:rsidRPr="0053072A">
        <w:rPr>
          <w:lang w:val="lv-LV"/>
        </w:rPr>
        <w:t>arī jāizstrādā speciāli pārejas noteikumi</w:t>
      </w:r>
      <w:r w:rsidR="0011743F">
        <w:rPr>
          <w:lang w:val="lv-LV"/>
        </w:rPr>
        <w:t>;</w:t>
      </w:r>
    </w:p>
    <w:p w14:paraId="000000CD" w14:textId="77777777" w:rsidR="007F09CB" w:rsidRPr="0053072A" w:rsidRDefault="00DB28EC">
      <w:pPr>
        <w:numPr>
          <w:ilvl w:val="0"/>
          <w:numId w:val="24"/>
        </w:numPr>
        <w:rPr>
          <w:lang w:val="lv-LV"/>
        </w:rPr>
      </w:pPr>
      <w:r w:rsidRPr="0053072A">
        <w:rPr>
          <w:lang w:val="lv-LV"/>
        </w:rPr>
        <w:t>Jālemj par attiecīgo amata vietu reorganizāciju, saistībā ar nodaļa darbības izbeigšanu;</w:t>
      </w:r>
    </w:p>
    <w:p w14:paraId="000000CE" w14:textId="6D04534D" w:rsidR="007F09CB" w:rsidRPr="0053072A" w:rsidRDefault="00DB28EC">
      <w:pPr>
        <w:numPr>
          <w:ilvl w:val="0"/>
          <w:numId w:val="24"/>
        </w:numPr>
        <w:rPr>
          <w:lang w:val="lv-LV"/>
        </w:rPr>
      </w:pPr>
      <w:r w:rsidRPr="0053072A">
        <w:rPr>
          <w:lang w:val="lv-LV"/>
        </w:rPr>
        <w:t xml:space="preserve">Paredzot nodot pašreizējās drošības rezervju pārvaldes funkcijas no BVKB uz Possessor, veicamas izmaiņas MK 2011. gada 14. jūnija noteikumu Nr. 450 “Noteikumi par valsts naftas produktu rezervju apmēru, apmēru, kādā maksājama valsts nodeva par drošības rezervju uzturēšanu, kā arī tās aprēķināšanas, maksāšanas un administrēšanas kārtību” 10. punktā. Possessor tiek norādīts kā jaunais drošības rezervju pārvaldītājs un, attiecīgi faktam, ka drošības rezerves plānots iegādāt </w:t>
      </w:r>
      <w:r w:rsidRPr="0053072A">
        <w:rPr>
          <w:lang w:val="lv-LV"/>
        </w:rPr>
        <w:lastRenderedPageBreak/>
        <w:t>valsts īpašumā, papildināms 10. punktā uzskaitīto drošības rezervju pārvaldītāja funkciju uzskaitījums ar 2.1. nodaļas sākumā minētajām funkcijām. Tāpat veicamas izmaiņas Enerģētikas likuma 72.</w:t>
      </w:r>
      <w:r w:rsidRPr="0053072A">
        <w:rPr>
          <w:vertAlign w:val="superscript"/>
          <w:lang w:val="lv-LV"/>
        </w:rPr>
        <w:t>1</w:t>
      </w:r>
      <w:r w:rsidRPr="0053072A">
        <w:rPr>
          <w:lang w:val="lv-LV"/>
        </w:rPr>
        <w:t xml:space="preserve"> un 72.</w:t>
      </w:r>
      <w:r w:rsidRPr="0053072A">
        <w:rPr>
          <w:vertAlign w:val="superscript"/>
          <w:lang w:val="lv-LV"/>
        </w:rPr>
        <w:t>4</w:t>
      </w:r>
      <w:r w:rsidRPr="0053072A">
        <w:rPr>
          <w:lang w:val="lv-LV"/>
        </w:rPr>
        <w:t xml:space="preserve"> pantā</w:t>
      </w:r>
      <w:r w:rsidR="0011743F">
        <w:rPr>
          <w:lang w:val="lv-LV"/>
        </w:rPr>
        <w:t xml:space="preserve"> (norādot</w:t>
      </w:r>
      <w:r w:rsidR="0011743F" w:rsidRPr="0011743F">
        <w:rPr>
          <w:lang w:val="lv-LV"/>
        </w:rPr>
        <w:t xml:space="preserve"> jauno aģentūras funkcionalitāti, nepieciešams </w:t>
      </w:r>
      <w:r w:rsidR="0011743F">
        <w:rPr>
          <w:lang w:val="lv-LV"/>
        </w:rPr>
        <w:t>norādīt</w:t>
      </w:r>
      <w:r w:rsidR="0011743F" w:rsidRPr="0011743F">
        <w:rPr>
          <w:lang w:val="lv-LV"/>
        </w:rPr>
        <w:t xml:space="preserve"> arī atrunu par iespēju valsts nodevas ieņēmumus novirzīt finanšu rezervju uzkrāšanai</w:t>
      </w:r>
      <w:r w:rsidR="0011743F">
        <w:rPr>
          <w:lang w:val="lv-LV"/>
        </w:rPr>
        <w:t>)</w:t>
      </w:r>
      <w:r w:rsidRPr="0053072A">
        <w:rPr>
          <w:lang w:val="lv-LV"/>
        </w:rPr>
        <w:t>, MK 2000. gada 26. septembra noteikumu Nr.332 “Noteikumi par benzīna un dīzeļdegvielas atbilstības novērtēšanu” 5 nodaļā, MK 2010. gada 16. marta noteikumu Nr.248 “Kārtība, kādā komersanti sniedz informāciju par degvielas mazumtirdzniecības cenām” 6. punktā, kā arī MK 2002. gada 28. maija noteikumu “Noteikumi par enerģētikas informācijas sistēmu” Nr.218 1.-4.1 punktā, MK 2011.gada 12.aprīļa noteikumu Nr.286 “Kārtība, kādā komersanti nodrošina un sniedz drošības rezervju pakalpojumu valsts naftas produktu drošības rezervju izveidei noteiktā apjomā” 2.</w:t>
      </w:r>
      <w:r w:rsidRPr="0053072A">
        <w:rPr>
          <w:vertAlign w:val="superscript"/>
          <w:lang w:val="lv-LV"/>
        </w:rPr>
        <w:t>2</w:t>
      </w:r>
      <w:r w:rsidRPr="0053072A">
        <w:rPr>
          <w:lang w:val="lv-LV"/>
        </w:rPr>
        <w:t>, 2.</w:t>
      </w:r>
      <w:r w:rsidRPr="0053072A">
        <w:rPr>
          <w:vertAlign w:val="superscript"/>
          <w:lang w:val="lv-LV"/>
        </w:rPr>
        <w:t>5</w:t>
      </w:r>
      <w:r w:rsidRPr="0053072A">
        <w:rPr>
          <w:lang w:val="lv-LV"/>
        </w:rPr>
        <w:t>, 5., 9., 9.</w:t>
      </w:r>
      <w:r w:rsidRPr="0053072A">
        <w:rPr>
          <w:vertAlign w:val="superscript"/>
          <w:lang w:val="lv-LV"/>
        </w:rPr>
        <w:t>1</w:t>
      </w:r>
      <w:r w:rsidRPr="0053072A">
        <w:rPr>
          <w:lang w:val="lv-LV"/>
        </w:rPr>
        <w:t>, 9.</w:t>
      </w:r>
      <w:r w:rsidRPr="0053072A">
        <w:rPr>
          <w:vertAlign w:val="superscript"/>
          <w:lang w:val="lv-LV"/>
        </w:rPr>
        <w:t>2</w:t>
      </w:r>
      <w:r w:rsidRPr="0053072A">
        <w:rPr>
          <w:lang w:val="lv-LV"/>
        </w:rPr>
        <w:t>, 12.</w:t>
      </w:r>
      <w:r w:rsidRPr="0053072A">
        <w:rPr>
          <w:vertAlign w:val="superscript"/>
          <w:lang w:val="lv-LV"/>
        </w:rPr>
        <w:t>1</w:t>
      </w:r>
      <w:r w:rsidRPr="0053072A">
        <w:rPr>
          <w:lang w:val="lv-LV"/>
        </w:rPr>
        <w:t>, 13</w:t>
      </w:r>
      <w:r w:rsidR="00CB2248">
        <w:rPr>
          <w:lang w:val="lv-LV"/>
        </w:rPr>
        <w:t>.</w:t>
      </w:r>
      <w:r w:rsidRPr="0053072A">
        <w:rPr>
          <w:lang w:val="lv-LV"/>
        </w:rPr>
        <w:t>, 13.</w:t>
      </w:r>
      <w:r w:rsidRPr="0053072A">
        <w:rPr>
          <w:vertAlign w:val="superscript"/>
          <w:lang w:val="lv-LV"/>
        </w:rPr>
        <w:t>1</w:t>
      </w:r>
      <w:r w:rsidRPr="0053072A">
        <w:rPr>
          <w:lang w:val="lv-LV"/>
        </w:rPr>
        <w:t>, 13.</w:t>
      </w:r>
      <w:r w:rsidRPr="0053072A">
        <w:rPr>
          <w:vertAlign w:val="superscript"/>
          <w:lang w:val="lv-LV"/>
        </w:rPr>
        <w:t>2</w:t>
      </w:r>
      <w:r w:rsidRPr="0053072A">
        <w:rPr>
          <w:lang w:val="lv-LV"/>
        </w:rPr>
        <w:t>, 17</w:t>
      </w:r>
      <w:r w:rsidR="00CB2248">
        <w:rPr>
          <w:lang w:val="lv-LV"/>
        </w:rPr>
        <w:t>.</w:t>
      </w:r>
      <w:r w:rsidRPr="0053072A">
        <w:rPr>
          <w:lang w:val="lv-LV"/>
        </w:rPr>
        <w:t>, 18</w:t>
      </w:r>
      <w:r w:rsidR="00CB2248">
        <w:rPr>
          <w:lang w:val="lv-LV"/>
        </w:rPr>
        <w:t>.</w:t>
      </w:r>
      <w:r w:rsidRPr="0053072A">
        <w:rPr>
          <w:lang w:val="lv-LV"/>
        </w:rPr>
        <w:t>, 18.2</w:t>
      </w:r>
      <w:r w:rsidR="00CB2248">
        <w:rPr>
          <w:lang w:val="lv-LV"/>
        </w:rPr>
        <w:t>.</w:t>
      </w:r>
      <w:r w:rsidRPr="0053072A">
        <w:rPr>
          <w:lang w:val="lv-LV"/>
        </w:rPr>
        <w:t>, 19</w:t>
      </w:r>
      <w:r w:rsidR="00CB2248">
        <w:rPr>
          <w:lang w:val="lv-LV"/>
        </w:rPr>
        <w:t>.</w:t>
      </w:r>
      <w:r w:rsidRPr="0053072A">
        <w:rPr>
          <w:lang w:val="lv-LV"/>
        </w:rPr>
        <w:t>, 20.-22.</w:t>
      </w:r>
      <w:r w:rsidRPr="0053072A">
        <w:rPr>
          <w:vertAlign w:val="superscript"/>
          <w:lang w:val="lv-LV"/>
        </w:rPr>
        <w:t>1</w:t>
      </w:r>
      <w:r w:rsidRPr="0053072A">
        <w:rPr>
          <w:lang w:val="lv-LV"/>
        </w:rPr>
        <w:t>. punktos, norādot izvēlēto aģentūru kā aktuālo drošības rezervju pārvaldītāju;</w:t>
      </w:r>
    </w:p>
    <w:p w14:paraId="000000CF" w14:textId="77777777" w:rsidR="007F09CB" w:rsidRPr="0053072A" w:rsidRDefault="00DB28EC">
      <w:pPr>
        <w:numPr>
          <w:ilvl w:val="0"/>
          <w:numId w:val="24"/>
        </w:numPr>
        <w:rPr>
          <w:lang w:val="lv-LV"/>
        </w:rPr>
      </w:pPr>
      <w:r w:rsidRPr="0053072A">
        <w:rPr>
          <w:lang w:val="lv-LV"/>
        </w:rPr>
        <w:t>Nemainīgi drošības rezervju uzkrāšanas principu regulē Padomes Direktīva 2009/119/EK.</w:t>
      </w:r>
    </w:p>
    <w:p w14:paraId="000000D0" w14:textId="77777777" w:rsidR="007F09CB" w:rsidRPr="0053072A" w:rsidRDefault="00DB28EC" w:rsidP="00CB2248">
      <w:pPr>
        <w:pStyle w:val="Focus"/>
        <w:rPr>
          <w:lang w:val="lv-LV"/>
        </w:rPr>
      </w:pPr>
      <w:r w:rsidRPr="0053072A">
        <w:rPr>
          <w:lang w:val="lv-LV"/>
        </w:rPr>
        <w:t>Drošības rezervju pārvaldītājam jāizstrādā sekojoša iekšējā dokumentācija:</w:t>
      </w:r>
    </w:p>
    <w:p w14:paraId="000000D1" w14:textId="77777777" w:rsidR="007F09CB" w:rsidRPr="0053072A" w:rsidRDefault="00DB28EC">
      <w:pPr>
        <w:numPr>
          <w:ilvl w:val="0"/>
          <w:numId w:val="24"/>
        </w:numPr>
        <w:rPr>
          <w:lang w:val="lv-LV"/>
        </w:rPr>
      </w:pPr>
      <w:r w:rsidRPr="0053072A">
        <w:rPr>
          <w:lang w:val="lv-LV"/>
        </w:rPr>
        <w:t>Drošības rezervju apsekošanas procedūra, kas regulē drošības rezervju apsekošanas procesu (metodes, veicamās aktivitātes, laika periodu, sasniedzamos rezultātus u.c.) un, kas ir saskaņā ar drošības rezervju pārvaldītāju un tā funkcijas regulējošajiem likumdošanas aktiem;</w:t>
      </w:r>
    </w:p>
    <w:p w14:paraId="000000D2" w14:textId="77777777" w:rsidR="007F09CB" w:rsidRPr="0053072A" w:rsidRDefault="00DB28EC">
      <w:pPr>
        <w:numPr>
          <w:ilvl w:val="0"/>
          <w:numId w:val="24"/>
        </w:numPr>
        <w:rPr>
          <w:lang w:val="lv-LV"/>
        </w:rPr>
      </w:pPr>
      <w:r w:rsidRPr="0053072A">
        <w:rPr>
          <w:lang w:val="lv-LV"/>
        </w:rPr>
        <w:t>Drošības rezervju rotācijas procedūru un uzskaites sistēmu, kas paredz procesu kā tiek rotētas drošības rezerves (biežums, rotācijas nosacījumi, juridiskais rotācijas ietvars u.c.);</w:t>
      </w:r>
    </w:p>
    <w:p w14:paraId="000000D3" w14:textId="77777777" w:rsidR="007F09CB" w:rsidRPr="0053072A" w:rsidRDefault="00DB28EC">
      <w:pPr>
        <w:numPr>
          <w:ilvl w:val="0"/>
          <w:numId w:val="24"/>
        </w:numPr>
        <w:rPr>
          <w:lang w:val="lv-LV"/>
        </w:rPr>
      </w:pPr>
      <w:r w:rsidRPr="0053072A">
        <w:rPr>
          <w:lang w:val="lv-LV"/>
        </w:rPr>
        <w:t>Drošības rezervju iegādes un pārdošanas procedūra, kas nosaka drošības rezervju iegādes mērķus un regulē finanšu riskus;</w:t>
      </w:r>
    </w:p>
    <w:p w14:paraId="000000D4" w14:textId="11DCEFD7" w:rsidR="007F09CB" w:rsidRPr="0053072A" w:rsidRDefault="00DB28EC">
      <w:pPr>
        <w:numPr>
          <w:ilvl w:val="0"/>
          <w:numId w:val="24"/>
        </w:numPr>
        <w:rPr>
          <w:lang w:val="lv-LV"/>
        </w:rPr>
      </w:pPr>
      <w:r w:rsidRPr="0053072A">
        <w:rPr>
          <w:lang w:val="lv-LV"/>
        </w:rPr>
        <w:t>Iekšējās administratīvās procedūras saistībā ar darbinieku darba pienākumiem, atbildību, atalgojumu u.c.</w:t>
      </w:r>
      <w:r w:rsidR="0011743F">
        <w:rPr>
          <w:lang w:val="lv-LV"/>
        </w:rPr>
        <w:t>;</w:t>
      </w:r>
    </w:p>
    <w:p w14:paraId="000000D5" w14:textId="63E9D8F4" w:rsidR="007F09CB" w:rsidRPr="0053072A" w:rsidRDefault="00DB28EC">
      <w:pPr>
        <w:numPr>
          <w:ilvl w:val="0"/>
          <w:numId w:val="24"/>
        </w:numPr>
        <w:rPr>
          <w:lang w:val="lv-LV"/>
        </w:rPr>
      </w:pPr>
      <w:r w:rsidRPr="0053072A">
        <w:rPr>
          <w:lang w:val="lv-LV"/>
        </w:rPr>
        <w:t>Kontroles procedūra, kas ietver finanšu transakciju limitus, apstiprināšanas kārtību un padomes darbības principus. Tāpat nepieciešams iekļaut darbības rezultātu izvērtējuma formātu un biežumu, iekļaujot finanšu informācijas atspoguļojumu un periodiskumu, risku analīzi, darbības mērķi un uzdevumus, un tos raksturojošos rādītājus, kā arī darbinieku atbildības jomas</w:t>
      </w:r>
      <w:r w:rsidR="0011743F">
        <w:rPr>
          <w:lang w:val="lv-LV"/>
        </w:rPr>
        <w:t>.</w:t>
      </w:r>
    </w:p>
    <w:p w14:paraId="000000D6" w14:textId="45655B92" w:rsidR="007F09CB" w:rsidRPr="0053072A" w:rsidRDefault="00DB28EC">
      <w:pPr>
        <w:shd w:val="clear" w:color="auto" w:fill="FFFFFF"/>
        <w:rPr>
          <w:rFonts w:ascii="Roboto" w:eastAsia="Roboto" w:hAnsi="Roboto" w:cs="Roboto"/>
          <w:sz w:val="20"/>
          <w:szCs w:val="20"/>
          <w:highlight w:val="white"/>
          <w:lang w:val="lv-LV"/>
        </w:rPr>
      </w:pPr>
      <w:r w:rsidRPr="0053072A">
        <w:rPr>
          <w:lang w:val="lv-LV"/>
        </w:rPr>
        <w:t>Nodrošinot parēju uz aģentūras modeli, vērā jāņem arī citi aspekti, piemēram, finanšu modeļa atjaunošana atbilstoši aktuālākajiem datiem, uz kā pamata, nepieciešamības gadījumā, var pieņemt lēmumus par pieņēmumu atjaunošanu/uzlabojumu veikšanu esošajā aģentūras plānā.</w:t>
      </w:r>
      <w:r w:rsidR="000A6E7F">
        <w:rPr>
          <w:lang w:val="lv-LV"/>
        </w:rPr>
        <w:t xml:space="preserve"> Sekojot līdzi situācijas attīstībai saistībā gan ar ārējiem faktoriem, gan saistībā ar iekšējo faktoru izpildi, nepieciešams sekot līdzi un izvērtēt šeit izvirzītā modeļa aktualitātei, piemēram, kopumā izvērtējot arī iespējamos uzlabojumus saistībā ar aģentūras modeli.</w:t>
      </w:r>
      <w:r w:rsidRPr="0053072A">
        <w:rPr>
          <w:lang w:val="lv-LV"/>
        </w:rPr>
        <w:t xml:space="preserve"> Tāpat nākotnē vēlams izstrādāt optimālo drošības rezervju sadalījumu pa kategorijām (sīkāk šis aspekts tiek aprakstīts nākamajā nodaļā).</w:t>
      </w:r>
    </w:p>
    <w:p w14:paraId="000000D7" w14:textId="77777777" w:rsidR="007F09CB" w:rsidRPr="0053072A" w:rsidRDefault="00DB28EC">
      <w:pPr>
        <w:pStyle w:val="Heading2"/>
        <w:numPr>
          <w:ilvl w:val="1"/>
          <w:numId w:val="10"/>
        </w:numPr>
        <w:ind w:left="0" w:firstLine="0"/>
        <w:rPr>
          <w:lang w:val="lv-LV"/>
        </w:rPr>
      </w:pPr>
      <w:bookmarkStart w:id="10" w:name="_Toc98774209"/>
      <w:r w:rsidRPr="0053072A">
        <w:rPr>
          <w:lang w:val="lv-LV"/>
        </w:rPr>
        <w:t>Drošības rezervju iepirkšanas un rotācijas process</w:t>
      </w:r>
      <w:bookmarkEnd w:id="10"/>
    </w:p>
    <w:p w14:paraId="000000D8" w14:textId="77777777" w:rsidR="007F09CB" w:rsidRPr="0053072A" w:rsidRDefault="00DB28EC">
      <w:pPr>
        <w:rPr>
          <w:lang w:val="lv-LV"/>
        </w:rPr>
      </w:pPr>
      <w:r w:rsidRPr="0053072A">
        <w:rPr>
          <w:lang w:val="lv-LV"/>
        </w:rPr>
        <w:t>MK noteikumu Nr.286 “Kārtība, kādā komersanti nodrošina un sniedz drošības rezervju pakalpojumu valsts naftas produktu drošības rezervju izveidei noteiktā apjomā” 2. pants nosaka, ka drošības rezerves var veidot no jēlnaftas, naftas starpproduktiem, kurus var pārvērst naftas produktos, un no naftas produktiem, kuru kategorijas atbilst šādiem kombinētās nomenklatūras kodiem:</w:t>
      </w:r>
    </w:p>
    <w:p w14:paraId="000000D9" w14:textId="77777777" w:rsidR="007F09CB" w:rsidRPr="0053072A" w:rsidRDefault="00DB28EC">
      <w:pPr>
        <w:numPr>
          <w:ilvl w:val="0"/>
          <w:numId w:val="22"/>
        </w:numPr>
        <w:rPr>
          <w:lang w:val="lv-LV"/>
        </w:rPr>
      </w:pPr>
      <w:r w:rsidRPr="0053072A">
        <w:rPr>
          <w:lang w:val="lv-LV"/>
        </w:rPr>
        <w:t>2.1. jēlnafta – kodi 2707 99 11, 2707 99 19, 2707 99 50 un kodi no 2710 19 29 līdz 2710 19 35;</w:t>
      </w:r>
    </w:p>
    <w:p w14:paraId="000000DA" w14:textId="77777777" w:rsidR="007F09CB" w:rsidRPr="0053072A" w:rsidRDefault="00DB28EC">
      <w:pPr>
        <w:numPr>
          <w:ilvl w:val="0"/>
          <w:numId w:val="22"/>
        </w:numPr>
        <w:rPr>
          <w:lang w:val="lv-LV"/>
        </w:rPr>
      </w:pPr>
      <w:r w:rsidRPr="0053072A">
        <w:rPr>
          <w:lang w:val="lv-LV"/>
        </w:rPr>
        <w:t>2.2. naftas starpprodukti (komponentes) – kodi 2710 12 11, 2710 12 15, 2710 19 11, 2710 19 15, 2710 19 31 un 2710 19 35;</w:t>
      </w:r>
    </w:p>
    <w:p w14:paraId="000000DB" w14:textId="77777777" w:rsidR="007F09CB" w:rsidRPr="0053072A" w:rsidRDefault="00DB28EC">
      <w:pPr>
        <w:numPr>
          <w:ilvl w:val="0"/>
          <w:numId w:val="22"/>
        </w:numPr>
        <w:rPr>
          <w:lang w:val="lv-LV"/>
        </w:rPr>
      </w:pPr>
      <w:r w:rsidRPr="0053072A">
        <w:rPr>
          <w:lang w:val="lv-LV"/>
        </w:rPr>
        <w:t>2.3. benzīns un aviācijas degviela – kodi no 2710 12 25 līdz 2710 12 70;</w:t>
      </w:r>
    </w:p>
    <w:p w14:paraId="000000DC" w14:textId="77777777" w:rsidR="007F09CB" w:rsidRPr="0053072A" w:rsidRDefault="00DB28EC">
      <w:pPr>
        <w:numPr>
          <w:ilvl w:val="0"/>
          <w:numId w:val="22"/>
        </w:numPr>
        <w:rPr>
          <w:lang w:val="lv-LV"/>
        </w:rPr>
      </w:pPr>
      <w:r w:rsidRPr="0053072A">
        <w:rPr>
          <w:lang w:val="lv-LV"/>
        </w:rPr>
        <w:lastRenderedPageBreak/>
        <w:t>2.4. petroleja, dīzeļdegviela un petrolejas veida reaktīvā degviela – kodi no 2710 19 15 līdz 2710 19 25, no 2710 19 43 līdz 2710 19 47, kā arī 2710 20 11 un 2710 20 16;</w:t>
      </w:r>
    </w:p>
    <w:p w14:paraId="000000DD" w14:textId="77777777" w:rsidR="007F09CB" w:rsidRPr="0053072A" w:rsidRDefault="00DB28EC">
      <w:pPr>
        <w:numPr>
          <w:ilvl w:val="0"/>
          <w:numId w:val="22"/>
        </w:numPr>
        <w:rPr>
          <w:lang w:val="lv-LV"/>
        </w:rPr>
      </w:pPr>
      <w:r w:rsidRPr="0053072A">
        <w:rPr>
          <w:lang w:val="lv-LV"/>
        </w:rPr>
        <w:t>2.5. degvieleļļa – kodi no 2710 19 51 līdz 2710 19 66, 2710 20 32 un 2710 20 38;</w:t>
      </w:r>
    </w:p>
    <w:p w14:paraId="000000DE" w14:textId="77777777" w:rsidR="007F09CB" w:rsidRPr="0053072A" w:rsidRDefault="00DB28EC">
      <w:pPr>
        <w:numPr>
          <w:ilvl w:val="0"/>
          <w:numId w:val="22"/>
        </w:numPr>
        <w:rPr>
          <w:lang w:val="lv-LV"/>
        </w:rPr>
      </w:pPr>
      <w:r w:rsidRPr="0053072A">
        <w:rPr>
          <w:lang w:val="lv-LV"/>
        </w:rPr>
        <w:t>2.6. sašķidrinātā naftas gāze – kodi no 2711 12 11 līdz 2711 12 97, no 2711 13 10 līdz 2711 13 97, kods 2711 14 00, 2711 19 00 un 2711 29 00 un kodi no 2901 10 00 līdz 2901 29 00.</w:t>
      </w:r>
      <w:r w:rsidRPr="0053072A">
        <w:rPr>
          <w:vertAlign w:val="superscript"/>
          <w:lang w:val="lv-LV"/>
        </w:rPr>
        <w:footnoteReference w:id="10"/>
      </w:r>
    </w:p>
    <w:p w14:paraId="000000DF" w14:textId="77777777" w:rsidR="007F09CB" w:rsidRPr="0053072A" w:rsidRDefault="00DB28EC">
      <w:pPr>
        <w:rPr>
          <w:lang w:val="lv-LV"/>
        </w:rPr>
      </w:pPr>
      <w:r w:rsidRPr="0053072A">
        <w:rPr>
          <w:lang w:val="lv-LV"/>
        </w:rPr>
        <w:t>Analizējot informāciju no iepriekš veiktajiem iepirkumiem par drošības rezervju uzglabāšanu, var secināt, ka sadalījums pa to veidiem katru gadu ir atšķirīgs (ko būtiski ietekmē komersantu sniegtie piedāvājumi iepirkumu ietvaros), taču pārsvarā starp drošības rezervēm vislielāko īpatsvaru sastāda dīzeļdegviela, kam seko benzīns (skatīt 3. attēlu par drošības rezervju sadalījumu 2021. gadā).</w:t>
      </w:r>
    </w:p>
    <w:p w14:paraId="000000E0" w14:textId="77777777" w:rsidR="007F09CB" w:rsidRPr="0053072A" w:rsidRDefault="00DB28EC" w:rsidP="00CB2248">
      <w:pPr>
        <w:pStyle w:val="Caption"/>
        <w:framePr w:wrap="around"/>
        <w:rPr>
          <w:lang w:val="lv-LV"/>
        </w:rPr>
      </w:pPr>
      <w:r w:rsidRPr="0053072A">
        <w:rPr>
          <w:lang w:val="lv-LV"/>
        </w:rPr>
        <w:t>3. attēls. Drošības rezervju sadalījums pa naftas produktu kategorijām, 2021. gads, t un %</w:t>
      </w:r>
    </w:p>
    <w:p w14:paraId="000000E1" w14:textId="77777777" w:rsidR="007F09CB" w:rsidRPr="0053072A" w:rsidRDefault="00DB28EC">
      <w:pPr>
        <w:rPr>
          <w:lang w:val="lv-LV"/>
        </w:rPr>
      </w:pPr>
      <w:r w:rsidRPr="0053072A">
        <w:rPr>
          <w:noProof/>
          <w:lang w:val="lv-LV"/>
        </w:rPr>
        <w:drawing>
          <wp:inline distT="114300" distB="114300" distL="114300" distR="114300" wp14:anchorId="5BBFB21C" wp14:editId="6420C0E0">
            <wp:extent cx="5996630" cy="2667000"/>
            <wp:effectExtent l="0" t="0" r="0" b="0"/>
            <wp:docPr id="1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5996630" cy="2667000"/>
                    </a:xfrm>
                    <a:prstGeom prst="rect">
                      <a:avLst/>
                    </a:prstGeom>
                    <a:ln/>
                  </pic:spPr>
                </pic:pic>
              </a:graphicData>
            </a:graphic>
          </wp:inline>
        </w:drawing>
      </w:r>
    </w:p>
    <w:p w14:paraId="000000E2" w14:textId="77777777" w:rsidR="007F09CB" w:rsidRPr="0053072A" w:rsidRDefault="00DB28EC" w:rsidP="00CB2248">
      <w:pPr>
        <w:pStyle w:val="Bottomcaption"/>
        <w:framePr w:wrap="around"/>
        <w:rPr>
          <w:lang w:val="lv-LV"/>
        </w:rPr>
      </w:pPr>
      <w:r w:rsidRPr="0053072A">
        <w:rPr>
          <w:lang w:val="lv-LV"/>
        </w:rPr>
        <w:t>Avots: BVKB dati</w:t>
      </w:r>
    </w:p>
    <w:p w14:paraId="000000E3" w14:textId="77777777" w:rsidR="007F09CB" w:rsidRPr="0053072A" w:rsidRDefault="00DB28EC">
      <w:pPr>
        <w:rPr>
          <w:lang w:val="lv-LV"/>
        </w:rPr>
      </w:pPr>
      <w:r w:rsidRPr="0053072A">
        <w:rPr>
          <w:lang w:val="lv-LV"/>
        </w:rPr>
        <w:t xml:space="preserve">3. attēlā norādītais sadalījums tiek ņemts vērā arī tālāk aprakstītajos finanšu aprēķinos periodiem nākotnē, taču jāņem vērā, ka līdz ar drošības rezervju iegādi valsts īpašumā, jaunizveidotajai aģentūrai, konsultējoties ar citām iesaistītajām pusēm šīs nozares ietvaros, ir iespējams veidot optimālu sadalījumu, kas nepieciešams valsts vajadzībām enerģētiskās krīzes situācijā, respektīvi – ir iespēja veidot konkrētu naftas produktu kategoriju sadalījumu, ko nepieciešamības gadījumā ir iespējams atjaunot atbilstoši esošajai situācijai. </w:t>
      </w:r>
    </w:p>
    <w:p w14:paraId="000000E4" w14:textId="4B60D68C" w:rsidR="007F09CB" w:rsidRDefault="00DB28EC">
      <w:pPr>
        <w:rPr>
          <w:lang w:val="lv-LV"/>
        </w:rPr>
      </w:pPr>
      <w:r w:rsidRPr="0053072A">
        <w:rPr>
          <w:lang w:val="lv-LV"/>
        </w:rPr>
        <w:t>Jaunā aģentūras modeļa ietvaros ir paredzēts nodrošināt, ka līdz 2028. gadam Latvijas īpašumā tiek iegādāti 100% no nepieciešamo drošības rezervju apjoma. 4. attēlā tiek norādīts kā līdz 2028. gadam, atbilstoši veiktajiem finanšu aprēķiniem, veidojas attiecīgais drošības rezervju sadalījums pēc iepriekš minētā principa (sīkāk skatīt 4.2. nodaļu).</w:t>
      </w:r>
    </w:p>
    <w:p w14:paraId="5D138E5A" w14:textId="5248F633" w:rsidR="00CB2248" w:rsidRDefault="00CB2248">
      <w:pPr>
        <w:rPr>
          <w:lang w:val="lv-LV"/>
        </w:rPr>
      </w:pPr>
    </w:p>
    <w:p w14:paraId="5419E4C2" w14:textId="0069C557" w:rsidR="00CB2248" w:rsidRDefault="00CB2248">
      <w:pPr>
        <w:rPr>
          <w:lang w:val="lv-LV"/>
        </w:rPr>
      </w:pPr>
    </w:p>
    <w:p w14:paraId="74C44C6E" w14:textId="29B51026" w:rsidR="00CB2248" w:rsidRDefault="00CB2248">
      <w:pPr>
        <w:rPr>
          <w:lang w:val="lv-LV"/>
        </w:rPr>
      </w:pPr>
    </w:p>
    <w:p w14:paraId="22395128" w14:textId="0BEB2CB9" w:rsidR="00CB2248" w:rsidRDefault="00CB2248">
      <w:pPr>
        <w:rPr>
          <w:lang w:val="lv-LV"/>
        </w:rPr>
      </w:pPr>
    </w:p>
    <w:p w14:paraId="581F69BB" w14:textId="4828116F" w:rsidR="00CB2248" w:rsidRDefault="00CB2248">
      <w:pPr>
        <w:rPr>
          <w:lang w:val="lv-LV"/>
        </w:rPr>
      </w:pPr>
    </w:p>
    <w:p w14:paraId="4431BBBF" w14:textId="42FC61DB" w:rsidR="00CB2248" w:rsidRDefault="00CB2248">
      <w:pPr>
        <w:rPr>
          <w:lang w:val="lv-LV"/>
        </w:rPr>
      </w:pPr>
    </w:p>
    <w:p w14:paraId="6742F5BC" w14:textId="77777777" w:rsidR="00CB2248" w:rsidRPr="0053072A" w:rsidRDefault="00CB2248">
      <w:pPr>
        <w:rPr>
          <w:highlight w:val="yellow"/>
          <w:lang w:val="lv-LV"/>
        </w:rPr>
      </w:pPr>
    </w:p>
    <w:p w14:paraId="000000E5" w14:textId="77777777" w:rsidR="007F09CB" w:rsidRPr="0053072A" w:rsidRDefault="00DB28EC" w:rsidP="00CB2248">
      <w:pPr>
        <w:pStyle w:val="Caption"/>
        <w:framePr w:wrap="around"/>
        <w:rPr>
          <w:lang w:val="lv-LV"/>
        </w:rPr>
      </w:pPr>
      <w:r w:rsidRPr="0053072A">
        <w:rPr>
          <w:lang w:val="lv-LV"/>
        </w:rPr>
        <w:t>4. attēls. Drošības rezervju sadalījums pēc īpašumtiesībām, 2023.-2028. gads</w:t>
      </w:r>
    </w:p>
    <w:p w14:paraId="000000E6" w14:textId="77777777" w:rsidR="007F09CB" w:rsidRPr="0053072A" w:rsidRDefault="00DB28EC">
      <w:pPr>
        <w:jc w:val="center"/>
        <w:rPr>
          <w:lang w:val="lv-LV"/>
        </w:rPr>
      </w:pPr>
      <w:r w:rsidRPr="0053072A">
        <w:rPr>
          <w:noProof/>
          <w:lang w:val="lv-LV"/>
        </w:rPr>
        <w:drawing>
          <wp:inline distT="114300" distB="114300" distL="114300" distR="114300" wp14:anchorId="57943002" wp14:editId="6B02A660">
            <wp:extent cx="5996630" cy="3162300"/>
            <wp:effectExtent l="0" t="0" r="0" b="0"/>
            <wp:docPr id="1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5996630" cy="3162300"/>
                    </a:xfrm>
                    <a:prstGeom prst="rect">
                      <a:avLst/>
                    </a:prstGeom>
                    <a:ln/>
                  </pic:spPr>
                </pic:pic>
              </a:graphicData>
            </a:graphic>
          </wp:inline>
        </w:drawing>
      </w:r>
    </w:p>
    <w:p w14:paraId="000000E7" w14:textId="77777777" w:rsidR="007F09CB" w:rsidRPr="0053072A" w:rsidRDefault="00DB28EC" w:rsidP="00CB2248">
      <w:pPr>
        <w:pStyle w:val="Bottomcaption"/>
        <w:framePr w:wrap="around"/>
        <w:rPr>
          <w:lang w:val="lv-LV"/>
        </w:rPr>
      </w:pPr>
      <w:r w:rsidRPr="0053072A">
        <w:rPr>
          <w:lang w:val="lv-LV"/>
        </w:rPr>
        <w:t>Avots: pētījuma autoru aprēķini</w:t>
      </w:r>
    </w:p>
    <w:p w14:paraId="000000E8" w14:textId="77777777" w:rsidR="007F09CB" w:rsidRPr="0053072A" w:rsidRDefault="00DB28EC">
      <w:pPr>
        <w:rPr>
          <w:lang w:val="lv-LV"/>
        </w:rPr>
      </w:pPr>
      <w:r w:rsidRPr="0053072A">
        <w:rPr>
          <w:lang w:val="lv-LV"/>
        </w:rPr>
        <w:t>Atbilstoši aprēķinos izmantotajiem pieņēmumiem, jaunizveidotā aģentūra, sākot ar 2024. gadu, ik gadu iegādāsies 20% no nepieciešamajām drošības rezervēm valsts īpašumā. Iegāde tiks finansēta no valsts aizdevuma ar paredzamu vidējo likmi 0,55% gadā (valsts obligāciju 10 gadu likme). Šādā veidā drošības rezervju iegādes summa tiek sadalīta piecās daļās un tās apmaksa izkliedēta 10 gadu periodā (aizņēmuma paredzamais termiņš). Kopējais drošības rezervju apjoms aprēķināts, izmantojot OPEC 2021. gada Pasaules naftas pārskata prognozes OECD Eiropas reģionam</w:t>
      </w:r>
      <w:r w:rsidRPr="0053072A">
        <w:rPr>
          <w:vertAlign w:val="superscript"/>
          <w:lang w:val="lv-LV"/>
        </w:rPr>
        <w:footnoteReference w:id="11"/>
      </w:r>
      <w:r w:rsidRPr="0053072A">
        <w:rPr>
          <w:lang w:val="lv-LV"/>
        </w:rPr>
        <w:t xml:space="preserve"> (sīkāk skatīt 3.1. nodaļu). Veikt pilnīgu pāreju uz valsts īpašumā esošām drošības rezervēm ir paredzēts 5 gadu laikā sekojošu iemeslu dēļ:</w:t>
      </w:r>
    </w:p>
    <w:p w14:paraId="000000E9" w14:textId="77777777" w:rsidR="007F09CB" w:rsidRPr="0053072A" w:rsidRDefault="00DB28EC">
      <w:pPr>
        <w:numPr>
          <w:ilvl w:val="0"/>
          <w:numId w:val="21"/>
        </w:numPr>
        <w:rPr>
          <w:lang w:val="lv-LV"/>
        </w:rPr>
      </w:pPr>
      <w:r w:rsidRPr="0053072A">
        <w:rPr>
          <w:lang w:val="lv-LV"/>
        </w:rPr>
        <w:t>Veicot pāreju īsākā laika periodā (1-4 gadi), palielinās risks, ka aģentūra nespētu segt ar drošības rezervju iegādi saistītās izmaksas no pieejamajiem finanšu avotiem (ieņēmumi no valsts nodevas un iespējamie ieņēmumi no drošības rezervju rotācijas);</w:t>
      </w:r>
    </w:p>
    <w:p w14:paraId="000000EA" w14:textId="77777777" w:rsidR="007F09CB" w:rsidRPr="0053072A" w:rsidRDefault="00DB28EC">
      <w:pPr>
        <w:numPr>
          <w:ilvl w:val="0"/>
          <w:numId w:val="21"/>
        </w:numPr>
        <w:rPr>
          <w:lang w:val="lv-LV"/>
        </w:rPr>
      </w:pPr>
      <w:r w:rsidRPr="0053072A">
        <w:rPr>
          <w:lang w:val="lv-LV"/>
        </w:rPr>
        <w:t>Veikt pāreju ilgākā laika posmā ir iespējams, ja uz noteikto drošības rezervju iegādes brīdi nav iespējams fiksēt valstij izdevīgu naftas produktu cenu. Ja šāds faktors nepastāv, tad nav ieteicams pagarināt iegādes periodu, ņemot vērā, ka valsts īpašumā esošu drošības rezervju uzturēšana ir ekonomiski izdevīgāka nekā infrastruktūras pakalpojumu sniedzēju īpašumā esošu drošības rezervju uzglabāšanas pakalpojuma iegāde (sīkāk skatīt 4.4. nodaļu).</w:t>
      </w:r>
    </w:p>
    <w:p w14:paraId="000000EB" w14:textId="77777777" w:rsidR="007F09CB" w:rsidRPr="0053072A" w:rsidRDefault="00DB28EC">
      <w:pPr>
        <w:rPr>
          <w:lang w:val="lv-LV"/>
        </w:rPr>
      </w:pPr>
      <w:r w:rsidRPr="0053072A">
        <w:rPr>
          <w:lang w:val="lv-LV"/>
        </w:rPr>
        <w:t>Drošības rezervju rotācijas mērķis ir nodrošināt regulāru rotāciju, lai novērstu drošības rezervju sastāvā esošo produktu noslāņošanos, kas rezultātā var radīt neatbilstību naftas produktu kvalitātes prasībām. Rotācija var nodrošināt arī potenciālus papildu ieņēmumus, ko var izmantot daļējai aģentūras izmaksu segšanai.</w:t>
      </w:r>
    </w:p>
    <w:p w14:paraId="000000EC" w14:textId="77777777" w:rsidR="007F09CB" w:rsidRPr="0053072A" w:rsidRDefault="00DB28EC">
      <w:pPr>
        <w:rPr>
          <w:lang w:val="lv-LV"/>
        </w:rPr>
      </w:pPr>
      <w:r w:rsidRPr="0053072A">
        <w:rPr>
          <w:lang w:val="lv-LV"/>
        </w:rPr>
        <w:lastRenderedPageBreak/>
        <w:t>Ar industrijas pārstāvjiem veikto interviju laikā, iegūta informācija, ka vidēji rotāciju vēlams veikt ne retāk kā reizi 2 gados, lai novērstu naftas produktu kvalitātes pasliktināšanos, kas var apgrūtināt tālāku naftas produktu realizēšanu tirgū par atbilstošu cenu.</w:t>
      </w:r>
    </w:p>
    <w:p w14:paraId="000000ED" w14:textId="77777777" w:rsidR="007F09CB" w:rsidRPr="0053072A" w:rsidRDefault="00DB28EC">
      <w:pPr>
        <w:rPr>
          <w:lang w:val="lv-LV"/>
        </w:rPr>
      </w:pPr>
      <w:r w:rsidRPr="0053072A">
        <w:rPr>
          <w:lang w:val="lv-LV"/>
        </w:rPr>
        <w:t>Sekundārais rotācijas mērķis ir nodrošināt aģentūrai papildu ieņēmumus daļējai tās izmaksu segšanai, lai pēc iespējas mazākā apjomā būtu jāpaaugstina valsts nodevas likme. Rotācijas faktiskos nākotnes ieņēmumus nav iespējams prognozēt, bet, zinot izdevumu daļas vērtību, kuru jāspēj segt no potenciālajiem ieņēmumiem no rotācijas, ir iespējams noteikt, kādai ir jābūt procentuālajai starpībai starp pārdošanas un pirkšanas cenu, lai nodrošinātu nepieciešamo finanšu resursu apjomu aģentūras darbībai.</w:t>
      </w:r>
    </w:p>
    <w:p w14:paraId="000000EE" w14:textId="77777777" w:rsidR="007F09CB" w:rsidRPr="0053072A" w:rsidRDefault="00DB28EC">
      <w:pPr>
        <w:rPr>
          <w:lang w:val="lv-LV"/>
        </w:rPr>
      </w:pPr>
      <w:r w:rsidRPr="0053072A">
        <w:rPr>
          <w:lang w:val="lv-LV"/>
        </w:rPr>
        <w:t>Attiecībā uz drošības rezervju uzglabāšanas infrastruktūras nodrošināšanas pakalpojumu, nav iemesls mainīt esošo iegādes formātu – iepirkumu aizsardzības jomā. Taču teorētiski tiek identificēti divi risinājumi kā iespējams iegādāties un rotēt drošības rezerves:</w:t>
      </w:r>
    </w:p>
    <w:p w14:paraId="000000EF" w14:textId="77777777" w:rsidR="007F09CB" w:rsidRPr="0053072A" w:rsidRDefault="00DB28EC">
      <w:pPr>
        <w:numPr>
          <w:ilvl w:val="0"/>
          <w:numId w:val="17"/>
        </w:numPr>
        <w:rPr>
          <w:lang w:val="lv-LV"/>
        </w:rPr>
      </w:pPr>
      <w:r w:rsidRPr="0053072A">
        <w:rPr>
          <w:lang w:val="lv-LV"/>
        </w:rPr>
        <w:t>Veikt izmaiņas Latvijas un ES likumdošanā, paredzot uz drošības rezervju pārvaldošo organizāciju neattiecināt iepirkuma procedūru un iegādes summas limitu;</w:t>
      </w:r>
    </w:p>
    <w:p w14:paraId="000000F0" w14:textId="77777777" w:rsidR="007F09CB" w:rsidRPr="0053072A" w:rsidRDefault="00DB28EC">
      <w:pPr>
        <w:numPr>
          <w:ilvl w:val="0"/>
          <w:numId w:val="4"/>
        </w:numPr>
        <w:rPr>
          <w:lang w:val="lv-LV"/>
        </w:rPr>
      </w:pPr>
      <w:r w:rsidRPr="0053072A">
        <w:rPr>
          <w:lang w:val="lv-LV"/>
        </w:rPr>
        <w:t>Veikt drošības rezervju iegādes un realizācijas pakalpojuma iegādi, izmantojot iepirkumu aizsardzības jomā, paredzot iepirkumā iekļaut instrumentu, kas mazina nākotnes naftas produktu cenu svārstību ietekmes risku.</w:t>
      </w:r>
    </w:p>
    <w:p w14:paraId="000000F1" w14:textId="77777777" w:rsidR="007F09CB" w:rsidRPr="0053072A" w:rsidRDefault="00DB28EC" w:rsidP="00CB2248">
      <w:pPr>
        <w:pStyle w:val="Focus"/>
        <w:rPr>
          <w:lang w:val="lv-LV"/>
        </w:rPr>
      </w:pPr>
      <w:r w:rsidRPr="0053072A">
        <w:rPr>
          <w:lang w:val="lv-LV"/>
        </w:rPr>
        <w:t>Riski saistībā ar izmaiņu veikšanu Latvijā un ES likumdošanā:</w:t>
      </w:r>
    </w:p>
    <w:p w14:paraId="000000F2" w14:textId="77777777" w:rsidR="007F09CB" w:rsidRPr="0053072A" w:rsidRDefault="00DB28EC">
      <w:pPr>
        <w:numPr>
          <w:ilvl w:val="0"/>
          <w:numId w:val="18"/>
        </w:numPr>
        <w:rPr>
          <w:lang w:val="lv-LV"/>
        </w:rPr>
      </w:pPr>
      <w:r w:rsidRPr="0053072A">
        <w:rPr>
          <w:lang w:val="lv-LV"/>
        </w:rPr>
        <w:t>Saskaņā ar 1. risinājumu veikt nepieciešamās izmaiņas regulējumā ir praktiski neiespējami, jo saistītie normatīvie akti ir harmonizēti ES dalībvalstu līmenī un tas prasītu veikt izmaiņas arī Padomes Direktīvā 2008/118/EK, kas vērtējams kā būtībā neiespējams variants;</w:t>
      </w:r>
    </w:p>
    <w:p w14:paraId="000000F3" w14:textId="01918572" w:rsidR="007F09CB" w:rsidRPr="0053072A" w:rsidRDefault="00DB28EC">
      <w:pPr>
        <w:numPr>
          <w:ilvl w:val="0"/>
          <w:numId w:val="18"/>
        </w:numPr>
        <w:rPr>
          <w:lang w:val="lv-LV"/>
        </w:rPr>
      </w:pPr>
      <w:r w:rsidRPr="0053072A">
        <w:rPr>
          <w:lang w:val="lv-LV"/>
        </w:rPr>
        <w:t>Neattiecinot Publiskā iepirkuma likumā noteikto iepirkuma procedūru uz konkrēto organizāciju, jāvērtē kontroles risks. Iepirkuma procedūra nosaka, pēc kādiem parametriem ir vērtējami piegādātāji un kā veicama iegādes un piedāvājumu vērtēšanas procedūra. Šāda procedūra sniedz konkrētu metodoloģijas ietvaru, pēc kura ir iespējams veikt iegādes operācijas. Ja ar iepirkuma procedūru saistītie ierobežojumi netiek attiecināti, tad ir nepieciešams patstāvīgi izstrādāt piedāvājumu izvērtēšanas procedūru, kas nodrošinātu kontroli pār to, kā tiek izmantoti finanšu līdzekļi, un kā tiek pieņemti lēmumi par iegādi</w:t>
      </w:r>
      <w:r w:rsidR="0011743F">
        <w:rPr>
          <w:lang w:val="lv-LV"/>
        </w:rPr>
        <w:t>;</w:t>
      </w:r>
    </w:p>
    <w:p w14:paraId="000000F4" w14:textId="2874A825" w:rsidR="007F09CB" w:rsidRPr="0053072A" w:rsidRDefault="00BE1865">
      <w:pPr>
        <w:numPr>
          <w:ilvl w:val="0"/>
          <w:numId w:val="18"/>
        </w:numPr>
        <w:rPr>
          <w:lang w:val="lv-LV"/>
        </w:rPr>
      </w:pPr>
      <w:sdt>
        <w:sdtPr>
          <w:rPr>
            <w:lang w:val="lv-LV"/>
          </w:rPr>
          <w:tag w:val="goog_rdk_0"/>
          <w:id w:val="-538817804"/>
        </w:sdtPr>
        <w:sdtEndPr/>
        <w:sdtContent/>
      </w:sdt>
      <w:sdt>
        <w:sdtPr>
          <w:rPr>
            <w:lang w:val="lv-LV"/>
          </w:rPr>
          <w:tag w:val="goog_rdk_1"/>
          <w:id w:val="-845713430"/>
        </w:sdtPr>
        <w:sdtEndPr/>
        <w:sdtContent/>
      </w:sdt>
      <w:sdt>
        <w:sdtPr>
          <w:rPr>
            <w:lang w:val="lv-LV"/>
          </w:rPr>
          <w:tag w:val="goog_rdk_2"/>
          <w:id w:val="-1404362541"/>
        </w:sdtPr>
        <w:sdtEndPr/>
        <w:sdtContent/>
      </w:sdt>
      <w:r w:rsidR="00DB28EC" w:rsidRPr="0053072A">
        <w:rPr>
          <w:lang w:val="lv-LV"/>
        </w:rPr>
        <w:t xml:space="preserve">Lai gan atsevišķi </w:t>
      </w:r>
      <w:r w:rsidR="007E350C">
        <w:rPr>
          <w:lang w:val="lv-LV"/>
        </w:rPr>
        <w:t>s</w:t>
      </w:r>
      <w:r w:rsidR="00DB28EC" w:rsidRPr="0053072A">
        <w:rPr>
          <w:lang w:val="lv-LV"/>
        </w:rPr>
        <w:t>abiedrisko pakalpojumu sniedzēji, uz kuriem attiecas izņēmumi, kas atrunāti Sabiedrisko pakalpojumu sniegšanas likumā, var nodrošināt resursu pirkšanu, neizmantojot iepirkuma procedūru, šīs aģentūras iekļaušana šeit vērtējama kā maz ticama, ņemot vērā tās darbības jomu, kas netiek definēta kā sabiedrisko pakalpojum</w:t>
      </w:r>
      <w:r w:rsidR="007E350C">
        <w:rPr>
          <w:lang w:val="lv-LV"/>
        </w:rPr>
        <w:t>u</w:t>
      </w:r>
      <w:r w:rsidR="00DB28EC" w:rsidRPr="0053072A">
        <w:rPr>
          <w:lang w:val="lv-LV"/>
        </w:rPr>
        <w:t xml:space="preserve"> sniegšana, kā arī šeit minēto izņēmumu attiecināšanā ir atrunāti būtiski ierobežojumi.</w:t>
      </w:r>
    </w:p>
    <w:p w14:paraId="000000F5" w14:textId="77777777" w:rsidR="007F09CB" w:rsidRPr="0053072A" w:rsidRDefault="00DB28EC" w:rsidP="00CB2248">
      <w:pPr>
        <w:pStyle w:val="Focus"/>
        <w:rPr>
          <w:lang w:val="lv-LV"/>
        </w:rPr>
      </w:pPr>
      <w:r w:rsidRPr="0053072A">
        <w:rPr>
          <w:lang w:val="lv-LV"/>
        </w:rPr>
        <w:t>Riski saistībā ar iepirkuma veikšanu aizsardzības jomā:</w:t>
      </w:r>
    </w:p>
    <w:p w14:paraId="000000F6" w14:textId="77777777" w:rsidR="007F09CB" w:rsidRPr="0053072A" w:rsidRDefault="00DB28EC">
      <w:pPr>
        <w:numPr>
          <w:ilvl w:val="0"/>
          <w:numId w:val="2"/>
        </w:numPr>
        <w:rPr>
          <w:lang w:val="lv-LV"/>
        </w:rPr>
      </w:pPr>
      <w:r w:rsidRPr="0053072A">
        <w:rPr>
          <w:lang w:val="lv-LV"/>
        </w:rPr>
        <w:t>Nav pilnībā izslēdzams finanšu risks. Ņemot vērā to, ka naftas produktu tirgus cena pastāvīgi ir mainīga, arī nākotnes līgumi pilnībā neizslēdz zaudējumu iespējamību, veicot pirkšanas/pārdošanas operācijas. Piemēram, ja, izmantojot nākotnes līgumu, tiek fiksēta nākotnes cena 500 EUR/t, kas ir spēkā 3 mēnešus, tad ir divi iespējamie scenāriji (neskaitot scenāriju, kur fiksētā nākotnes cena ir vienāda ar faktisko cenu darījuma brīdī):</w:t>
      </w:r>
    </w:p>
    <w:p w14:paraId="000000F7" w14:textId="77777777" w:rsidR="007F09CB" w:rsidRPr="0053072A" w:rsidRDefault="00DB28EC">
      <w:pPr>
        <w:numPr>
          <w:ilvl w:val="1"/>
          <w:numId w:val="2"/>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Faktiskajā pirkšanas brīdī (laikā, kad iestājas 3 mēneši no līguma stāšanās spēkā) faktiskā tirgus cena ir augstāka, piemēram, 600 EUR/t. Šajā gadījumā tiek ietaupīti 100 EUR/t;</w:t>
      </w:r>
    </w:p>
    <w:p w14:paraId="000000F8" w14:textId="77777777" w:rsidR="007F09CB" w:rsidRPr="0053072A" w:rsidRDefault="00DB28EC">
      <w:pPr>
        <w:numPr>
          <w:ilvl w:val="1"/>
          <w:numId w:val="2"/>
        </w:num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Faktiskajā pirkšanas brīdī faktiskā tirgus cena ir zemāka, piemēram, 400 EUR/t. Šajā gadījumā ir vērojami zaudējumi, kas ir 100 EUR/t.</w:t>
      </w:r>
    </w:p>
    <w:p w14:paraId="000000F9" w14:textId="77777777" w:rsidR="007F09CB" w:rsidRPr="0053072A" w:rsidRDefault="00DB28EC">
      <w:pPr>
        <w:numPr>
          <w:ilvl w:val="0"/>
          <w:numId w:val="20"/>
        </w:numPr>
        <w:rPr>
          <w:lang w:val="lv-LV"/>
        </w:rPr>
      </w:pPr>
      <w:r w:rsidRPr="0053072A">
        <w:rPr>
          <w:lang w:val="lv-LV"/>
        </w:rPr>
        <w:t>Šajā gadījumā svarīgi ir saprast, ka zaudējumi ir starpība starp faktisko cenu un nākotnes līgumā noteikto cenu. Pieņemot, ka nākotnes līgumā noteiktā cena ir ekonomiski pieņemama izvēlētajai struktūrai, tad iepriekš minētie zaudējumi 100 EUR/t apmērā ir nosakāmi kā alternatīvās izmaksas, nevis kā reāli zaudējumi.</w:t>
      </w:r>
    </w:p>
    <w:p w14:paraId="000000FA" w14:textId="77777777" w:rsidR="007F09CB" w:rsidRPr="0053072A" w:rsidRDefault="00DB28EC">
      <w:pPr>
        <w:rPr>
          <w:b/>
          <w:lang w:val="lv-LV"/>
        </w:rPr>
      </w:pPr>
      <w:r w:rsidRPr="0053072A">
        <w:rPr>
          <w:lang w:val="lv-LV"/>
        </w:rPr>
        <w:lastRenderedPageBreak/>
        <w:t>Kopumā šis ir efektīvākais veids, kā nodrošināties pret cenas pieaugumu nākotnē un fiksēt ekonomiski pieņemamu cenu par iegādājamajām drošības rezervēm.</w:t>
      </w:r>
    </w:p>
    <w:p w14:paraId="000000FB" w14:textId="77777777" w:rsidR="007F09CB" w:rsidRPr="0053072A" w:rsidRDefault="00DB28EC" w:rsidP="00CB2248">
      <w:pPr>
        <w:pStyle w:val="Focus"/>
        <w:rPr>
          <w:lang w:val="lv-LV"/>
        </w:rPr>
      </w:pPr>
      <w:r w:rsidRPr="0053072A">
        <w:rPr>
          <w:lang w:val="lv-LV"/>
        </w:rPr>
        <w:t>Iespējas saistībā ar pirkšanas/pārdošanas operāciju veikšanu, izmantojot iepirkumu aizsardzības jomā:</w:t>
      </w:r>
    </w:p>
    <w:p w14:paraId="000000FC" w14:textId="77777777" w:rsidR="007F09CB" w:rsidRPr="0053072A" w:rsidRDefault="00DB28EC">
      <w:pPr>
        <w:numPr>
          <w:ilvl w:val="0"/>
          <w:numId w:val="19"/>
        </w:numPr>
        <w:rPr>
          <w:lang w:val="lv-LV"/>
        </w:rPr>
      </w:pPr>
      <w:r w:rsidRPr="0053072A">
        <w:rPr>
          <w:lang w:val="lv-LV"/>
        </w:rPr>
        <w:t>Šāds scenārijs nodrošina regulētu kontroles mehānismu attiecībā uz pirkšanas/pārdošanas operācijām. Tas nozīmē, ka organizācijai ir noteikti procesi – iepirkuma procedūras veikšana, piedāvājumu izvērtēšana un līgumu slēgšana;</w:t>
      </w:r>
    </w:p>
    <w:p w14:paraId="000000FD" w14:textId="77777777" w:rsidR="007F09CB" w:rsidRPr="0053072A" w:rsidRDefault="00DB28EC">
      <w:pPr>
        <w:numPr>
          <w:ilvl w:val="0"/>
          <w:numId w:val="19"/>
        </w:numPr>
        <w:rPr>
          <w:lang w:val="lv-LV"/>
        </w:rPr>
      </w:pPr>
      <w:r w:rsidRPr="0053072A">
        <w:rPr>
          <w:lang w:val="lv-LV"/>
        </w:rPr>
        <w:t>Lai gan iepirkuma process ir lēnāks, salīdzinot ar vienkāršotu iegādes procesu, kad uz struktūru netiek attiecināti iepirkuma ierobežojumi, paredzot nākotnes līguma opciju iepirkumā, ir iespējams efektīvi nodrošināties pret naftas produktu cenu kāpumu. Tas nozīmē, ka iepirkums aizsardzības jomā nerada papildu finanšu risku saistībā ar cenu svārstībām;</w:t>
      </w:r>
    </w:p>
    <w:p w14:paraId="000000FE" w14:textId="77777777" w:rsidR="007F09CB" w:rsidRPr="0053072A" w:rsidRDefault="00DB28EC">
      <w:pPr>
        <w:numPr>
          <w:ilvl w:val="0"/>
          <w:numId w:val="19"/>
        </w:numPr>
        <w:rPr>
          <w:lang w:val="lv-LV"/>
        </w:rPr>
      </w:pPr>
      <w:r w:rsidRPr="0053072A">
        <w:rPr>
          <w:lang w:val="lv-LV"/>
        </w:rPr>
        <w:t>Organizācijai, kas pārvaldīs drošības rezerves, būtu vēlams veikt iepirkumu drošības rezervju uzglabāšanas infrastruktūras pakalpojumam, izmantojot iepirkuma aizsardzības jomā procedūru, un iepirkumu iegādes un realizācijas pakalpojumam, izmantojot iepirkuma aizsardzības jomā procedūru ar iekļautu punktu par drošības rezervju iegādi, izmantojot nākotnes līgumus;</w:t>
      </w:r>
    </w:p>
    <w:p w14:paraId="000000FF" w14:textId="46738DE1" w:rsidR="007F09CB" w:rsidRPr="0053072A" w:rsidRDefault="00DB28EC">
      <w:pPr>
        <w:numPr>
          <w:ilvl w:val="0"/>
          <w:numId w:val="19"/>
        </w:numPr>
        <w:rPr>
          <w:lang w:val="lv-LV"/>
        </w:rPr>
      </w:pPr>
      <w:r w:rsidRPr="0053072A">
        <w:rPr>
          <w:lang w:val="lv-LV"/>
        </w:rPr>
        <w:t>Realizējot apvienotu iepirkumu, kas paredz gan drošības rezervju iegādi, gan arī pārdošanu, struktūra nodrošina drošības rezervju likviditāti – iespēju tās pārdot, kad tas ir nepieciešams. Alternatīva ir atsevišķs iepirkums realizācijas pakalpojumam. Alternatīva vērtējama kā laikietilpīga (nepieciešams sagatavot un izsludināt papildu iepirkumu)</w:t>
      </w:r>
      <w:r w:rsidR="0011743F">
        <w:rPr>
          <w:lang w:val="lv-LV"/>
        </w:rPr>
        <w:t>;</w:t>
      </w:r>
    </w:p>
    <w:p w14:paraId="00000100" w14:textId="417C8B1B" w:rsidR="007F09CB" w:rsidRPr="0053072A" w:rsidRDefault="00DB28EC">
      <w:pPr>
        <w:numPr>
          <w:ilvl w:val="0"/>
          <w:numId w:val="19"/>
        </w:numPr>
        <w:rPr>
          <w:lang w:val="lv-LV"/>
        </w:rPr>
      </w:pPr>
      <w:r w:rsidRPr="0053072A">
        <w:rPr>
          <w:lang w:val="lv-LV"/>
        </w:rPr>
        <w:t>Līdzīgs princips drošības rezervju pirkšanas un pārdošanas operācijās tiek izmantots arī citu valstu aģentūrās, piemēram, Igaunijā. Šajā gadījumā, šo operāciju veikšanā, attiecīgā aģentūra izmanto iepirkuma procedūru ar atvieglotiem nosacījumiem, kas tiek reglamentēta iestādes darbibas regulējošajos aktos</w:t>
      </w:r>
      <w:r w:rsidRPr="00CB2248">
        <w:rPr>
          <w:vertAlign w:val="superscript"/>
          <w:lang w:val="lv-LV"/>
        </w:rPr>
        <w:footnoteReference w:id="12"/>
      </w:r>
      <w:r w:rsidR="00CB2248" w:rsidRPr="00CB2248">
        <w:rPr>
          <w:vertAlign w:val="superscript"/>
          <w:lang w:val="lv-LV"/>
        </w:rPr>
        <w:t>,</w:t>
      </w:r>
      <w:r w:rsidRPr="00CB2248">
        <w:rPr>
          <w:vertAlign w:val="superscript"/>
          <w:lang w:val="lv-LV"/>
        </w:rPr>
        <w:footnoteReference w:id="13"/>
      </w:r>
      <w:r w:rsidRPr="00CB2248">
        <w:rPr>
          <w:lang w:val="lv-LV"/>
        </w:rPr>
        <w:t>.</w:t>
      </w:r>
    </w:p>
    <w:p w14:paraId="00000101" w14:textId="77777777" w:rsidR="007F09CB" w:rsidRPr="0053072A" w:rsidRDefault="00DB28EC">
      <w:pPr>
        <w:pStyle w:val="Heading1"/>
        <w:numPr>
          <w:ilvl w:val="0"/>
          <w:numId w:val="10"/>
        </w:numPr>
        <w:ind w:left="0" w:firstLine="0"/>
        <w:rPr>
          <w:rFonts w:ascii="Arial" w:eastAsia="Arial" w:hAnsi="Arial" w:cs="Arial"/>
          <w:lang w:val="lv-LV"/>
        </w:rPr>
      </w:pPr>
      <w:r w:rsidRPr="0053072A">
        <w:rPr>
          <w:lang w:val="lv-LV"/>
        </w:rPr>
        <w:br w:type="page"/>
      </w:r>
      <w:bookmarkStart w:id="11" w:name="_Toc98774210"/>
      <w:r w:rsidRPr="0053072A">
        <w:rPr>
          <w:lang w:val="lv-LV"/>
        </w:rPr>
        <w:lastRenderedPageBreak/>
        <w:t>Aģentūras darbības analīze</w:t>
      </w:r>
      <w:bookmarkEnd w:id="11"/>
    </w:p>
    <w:p w14:paraId="00000102" w14:textId="77777777" w:rsidR="007F09CB" w:rsidRPr="0053072A" w:rsidRDefault="00DB28EC">
      <w:pPr>
        <w:pStyle w:val="Heading2"/>
        <w:numPr>
          <w:ilvl w:val="1"/>
          <w:numId w:val="10"/>
        </w:numPr>
        <w:ind w:left="0" w:firstLine="0"/>
        <w:rPr>
          <w:lang w:val="lv-LV"/>
        </w:rPr>
      </w:pPr>
      <w:bookmarkStart w:id="12" w:name="_Toc98774211"/>
      <w:r w:rsidRPr="0053072A">
        <w:rPr>
          <w:lang w:val="lv-LV"/>
        </w:rPr>
        <w:t>Nepieciešamo drošības rezervju veids un apjoms</w:t>
      </w:r>
      <w:bookmarkEnd w:id="12"/>
    </w:p>
    <w:p w14:paraId="00000103" w14:textId="77777777" w:rsidR="007F09CB" w:rsidRPr="0053072A" w:rsidRDefault="00DB28EC">
      <w:pPr>
        <w:rPr>
          <w:highlight w:val="yellow"/>
          <w:lang w:val="lv-LV"/>
        </w:rPr>
      </w:pPr>
      <w:r w:rsidRPr="0053072A">
        <w:rPr>
          <w:lang w:val="lv-LV"/>
        </w:rPr>
        <w:t>Drošības rezervju apjoms ir mainīgs lielums – ir nepieciešams nodrošināt drošības rezervju apjomu, kas noteikts Direktīvā 2009/119/EK. Šim apjomam ir jāatbilst vismaz dienas vidējā tīrā importa daudzumiem 90 dienu laikā vai arī dienas vidējam iekšzemes patēriņam 61 dienai (atkarībā no tā, kurš no abiem daudzumiem ir lielāks)</w:t>
      </w:r>
      <w:r w:rsidRPr="0053072A">
        <w:rPr>
          <w:vertAlign w:val="superscript"/>
          <w:lang w:val="lv-LV"/>
        </w:rPr>
        <w:footnoteReference w:id="14"/>
      </w:r>
      <w:r w:rsidRPr="0053072A">
        <w:rPr>
          <w:lang w:val="lv-LV"/>
        </w:rPr>
        <w:t>. Drošības rezervju apjomu iepriekšējos gados var skatīt 5. attēlā.</w:t>
      </w:r>
    </w:p>
    <w:p w14:paraId="00000104" w14:textId="77777777" w:rsidR="007F09CB" w:rsidRPr="0053072A" w:rsidRDefault="00DB28EC" w:rsidP="00224C1B">
      <w:pPr>
        <w:pStyle w:val="Caption"/>
        <w:framePr w:wrap="around"/>
        <w:rPr>
          <w:lang w:val="lv-LV"/>
        </w:rPr>
      </w:pPr>
      <w:r w:rsidRPr="0053072A">
        <w:rPr>
          <w:lang w:val="lv-LV"/>
        </w:rPr>
        <w:t>5. attēls. Vēsturiskais drošības rezervju apjoms Latvijā, 2011.-2022. gads, t</w:t>
      </w:r>
    </w:p>
    <w:p w14:paraId="00000105" w14:textId="77777777" w:rsidR="007F09CB" w:rsidRPr="0053072A" w:rsidRDefault="00DB28EC">
      <w:pPr>
        <w:spacing w:after="0"/>
        <w:jc w:val="left"/>
        <w:rPr>
          <w:rFonts w:ascii="Arial" w:eastAsia="Arial" w:hAnsi="Arial" w:cs="Arial"/>
          <w:lang w:val="lv-LV"/>
        </w:rPr>
      </w:pPr>
      <w:r w:rsidRPr="0053072A">
        <w:rPr>
          <w:rFonts w:ascii="Arial" w:eastAsia="Arial" w:hAnsi="Arial" w:cs="Arial"/>
          <w:noProof/>
          <w:lang w:val="lv-LV"/>
        </w:rPr>
        <w:drawing>
          <wp:inline distT="114300" distB="114300" distL="114300" distR="114300" wp14:anchorId="5FB58F0F" wp14:editId="533E18BA">
            <wp:extent cx="5996630" cy="3213100"/>
            <wp:effectExtent l="0" t="0" r="0" b="0"/>
            <wp:docPr id="133"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7"/>
                    <a:srcRect/>
                    <a:stretch>
                      <a:fillRect/>
                    </a:stretch>
                  </pic:blipFill>
                  <pic:spPr>
                    <a:xfrm>
                      <a:off x="0" y="0"/>
                      <a:ext cx="5996630" cy="3213100"/>
                    </a:xfrm>
                    <a:prstGeom prst="rect">
                      <a:avLst/>
                    </a:prstGeom>
                    <a:ln/>
                  </pic:spPr>
                </pic:pic>
              </a:graphicData>
            </a:graphic>
          </wp:inline>
        </w:drawing>
      </w:r>
    </w:p>
    <w:p w14:paraId="00000106" w14:textId="070A0572" w:rsidR="007F09CB" w:rsidRPr="0053072A" w:rsidRDefault="00DB28EC" w:rsidP="00224C1B">
      <w:pPr>
        <w:pStyle w:val="Bottomcaption"/>
        <w:framePr w:wrap="around"/>
        <w:rPr>
          <w:lang w:val="lv-LV"/>
        </w:rPr>
      </w:pPr>
      <w:r w:rsidRPr="0053072A">
        <w:rPr>
          <w:lang w:val="lv-LV"/>
        </w:rPr>
        <w:t xml:space="preserve">Avots: BVKB un </w:t>
      </w:r>
      <w:r w:rsidR="0011743F">
        <w:rPr>
          <w:lang w:val="lv-LV"/>
        </w:rPr>
        <w:t>EM</w:t>
      </w:r>
      <w:r w:rsidRPr="0053072A">
        <w:rPr>
          <w:lang w:val="lv-LV"/>
        </w:rPr>
        <w:t xml:space="preserve"> dati</w:t>
      </w:r>
    </w:p>
    <w:p w14:paraId="00000107" w14:textId="77777777" w:rsidR="007F09CB" w:rsidRPr="0053072A" w:rsidRDefault="00DB28EC">
      <w:pPr>
        <w:rPr>
          <w:lang w:val="lv-LV"/>
        </w:rPr>
      </w:pPr>
      <w:r w:rsidRPr="0053072A">
        <w:rPr>
          <w:lang w:val="lv-LV"/>
        </w:rPr>
        <w:t>Paredzētā modeļa izmaksas nākotnē lielā mērā ietekmē arī nepieciešamais drošības rezervju apjoms. Lai prognozētu šo apjomu, tiek izmantotas OPEC 2021. gada Pasaules naftas pārskata 2045. gadam ietvaros veiktās prognozes nākotnei. Šī pārskata ietvaros tiek analizēti dažādi faktori saistībā ar globālās ekonomikas izaugsmi, enerģijas un naftas produktu pieprasījumu un piedāvājumu, naftas produktu pārstrādi un tirdzniecību, kā arī citi faktori, kas var ietekmēt nozares izaugsmi nākotnē, piemēram, politikas izmaiņas, ilgtspējīgas attīstības aspektu aktualizēšanās un tehnoloģiju turpmāka attīstība. Šo faktoru izvērtējums ļauj izdarīt noteiktus pieņēmumus par nozari nākotnē (līdz 2045. gadam), tostarp saistībā ar naftas produktu pieprasījumu.</w:t>
      </w:r>
    </w:p>
    <w:p w14:paraId="00000108" w14:textId="77777777" w:rsidR="007F09CB" w:rsidRPr="0053072A" w:rsidRDefault="00DB28EC">
      <w:pPr>
        <w:rPr>
          <w:lang w:val="lv-LV"/>
        </w:rPr>
      </w:pPr>
      <w:r w:rsidRPr="0053072A">
        <w:rPr>
          <w:lang w:val="lv-LV"/>
        </w:rPr>
        <w:t xml:space="preserve">2020. gadā naftas produktu pieprasījums strauji kritās Covid-19 pandēmijas ietekmē, taču OPEC prognozē, ka līdz ar pakāpenisku ekonomikas atveseļošanos, tuvākajos gados augs arī naftas produktu pieprasījums. Tiek prognozēts, ka pieprasījums pēc naftas produktiem atšķiras dažādos pasaules reģionos. Analizējot ilgtermiņa prognozes, pasaulē pieprasījums pēc naftas produktiem līdz 2045. gadam pieaugs no 90,6 mb/d 2020. gadā līdz 108,2 mb/d 2045. gadā (pieaugums par 19,5%). Pieaugumu veicinās ārpus OECD esošās valstis, piemēram, Indija, Ķīna un OPEC dalībvalstis (52,5% pieaugums šajā laika periodā). Turpretī OECD </w:t>
      </w:r>
      <w:r w:rsidRPr="0053072A">
        <w:rPr>
          <w:lang w:val="lv-LV"/>
        </w:rPr>
        <w:lastRenderedPageBreak/>
        <w:t>dalībvalstīs šajā laika periodā tiek prognozēts šī rādītāja samazinājums par 18,8%. Arī OECD Eiropas dalībvalstīs tiek prognozēts šī rādītāja samazinājums</w:t>
      </w:r>
      <w:r w:rsidRPr="0053072A">
        <w:rPr>
          <w:vertAlign w:val="superscript"/>
          <w:lang w:val="lv-LV"/>
        </w:rPr>
        <w:footnoteReference w:id="15"/>
      </w:r>
      <w:r w:rsidRPr="0053072A">
        <w:rPr>
          <w:lang w:val="lv-LV"/>
        </w:rPr>
        <w:t xml:space="preserve"> (skatīt 6. attēlu).</w:t>
      </w:r>
    </w:p>
    <w:p w14:paraId="00000109" w14:textId="77777777" w:rsidR="007F09CB" w:rsidRPr="0053072A" w:rsidRDefault="00DB28EC" w:rsidP="00224C1B">
      <w:pPr>
        <w:pStyle w:val="Caption"/>
        <w:framePr w:wrap="around"/>
        <w:rPr>
          <w:lang w:val="lv-LV"/>
        </w:rPr>
      </w:pPr>
      <w:r w:rsidRPr="0053072A">
        <w:rPr>
          <w:lang w:val="lv-LV"/>
        </w:rPr>
        <w:t>6. attēls. Prognozētais ilgtermiņa pieprasījums pēc naftas produktiem OECD Eiropas dalībvalstīs, 2020.-2045. gads, mb/d</w:t>
      </w:r>
    </w:p>
    <w:p w14:paraId="0000010A" w14:textId="77777777" w:rsidR="007F09CB" w:rsidRPr="0053072A" w:rsidRDefault="00DB28EC">
      <w:pPr>
        <w:spacing w:after="0"/>
        <w:rPr>
          <w:rFonts w:ascii="Arial" w:eastAsia="Arial" w:hAnsi="Arial" w:cs="Arial"/>
          <w:lang w:val="lv-LV"/>
        </w:rPr>
      </w:pPr>
      <w:r w:rsidRPr="0053072A">
        <w:rPr>
          <w:rFonts w:ascii="Arial" w:eastAsia="Arial" w:hAnsi="Arial" w:cs="Arial"/>
          <w:noProof/>
          <w:lang w:val="lv-LV"/>
        </w:rPr>
        <w:drawing>
          <wp:inline distT="114300" distB="114300" distL="114300" distR="114300" wp14:anchorId="10476F17" wp14:editId="1F7D7ED4">
            <wp:extent cx="5996630" cy="2895600"/>
            <wp:effectExtent l="0" t="0" r="0" b="0"/>
            <wp:docPr id="13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8"/>
                    <a:srcRect/>
                    <a:stretch>
                      <a:fillRect/>
                    </a:stretch>
                  </pic:blipFill>
                  <pic:spPr>
                    <a:xfrm>
                      <a:off x="0" y="0"/>
                      <a:ext cx="5996630" cy="2895600"/>
                    </a:xfrm>
                    <a:prstGeom prst="rect">
                      <a:avLst/>
                    </a:prstGeom>
                    <a:ln/>
                  </pic:spPr>
                </pic:pic>
              </a:graphicData>
            </a:graphic>
          </wp:inline>
        </w:drawing>
      </w:r>
    </w:p>
    <w:p w14:paraId="0000010B" w14:textId="77777777" w:rsidR="007F09CB" w:rsidRPr="0053072A" w:rsidRDefault="007F09CB">
      <w:pPr>
        <w:spacing w:after="0"/>
        <w:rPr>
          <w:rFonts w:ascii="Arial" w:eastAsia="Arial" w:hAnsi="Arial" w:cs="Arial"/>
          <w:lang w:val="lv-LV"/>
        </w:rPr>
      </w:pPr>
    </w:p>
    <w:p w14:paraId="0000010C" w14:textId="77777777" w:rsidR="007F09CB" w:rsidRPr="0053072A" w:rsidRDefault="00DB28EC" w:rsidP="00224C1B">
      <w:pPr>
        <w:pStyle w:val="Bottomcaption"/>
        <w:framePr w:wrap="around"/>
        <w:rPr>
          <w:lang w:val="lv-LV"/>
        </w:rPr>
      </w:pPr>
      <w:r w:rsidRPr="0053072A">
        <w:rPr>
          <w:lang w:val="lv-LV"/>
        </w:rPr>
        <w:t>Avots: OPEC. World Oil Outlook 2045. 2021. gads</w:t>
      </w:r>
    </w:p>
    <w:p w14:paraId="0000010D" w14:textId="77777777" w:rsidR="007F09CB" w:rsidRPr="0053072A" w:rsidRDefault="00DB28EC">
      <w:pPr>
        <w:rPr>
          <w:highlight w:val="yellow"/>
          <w:lang w:val="lv-LV"/>
        </w:rPr>
      </w:pPr>
      <w:r w:rsidRPr="0053072A">
        <w:rPr>
          <w:lang w:val="lv-LV"/>
        </w:rPr>
        <w:t>Šīs prognozes paredz, ka kopumā OECD valstis, neskatoties uz plānoto naftas produktu pieprasījuma pieaugumu pāris tuvākajos gados, vairs nesasniegs līmeni, kas bija vērojams pirms Covid-19 pandēmijas. Lielā mērā to ietekmē dažādi aspekti, kas sīkāk skatīti 1. nodaļā, taču OPEC prognozes īpaši izceļ energoefektivitātes uzlabošanu dažādās nozarēs, kā arī naftas produktu pakāpenisku aizstāšanu ar atjaunojamiem energoresursiem, dažādu nozaru elektrifikāciju, vairākos reģionos novērojamu ne tik strauju ekonomisko izaugsmi un demogrāfiskās problēmas.</w:t>
      </w:r>
      <w:r w:rsidRPr="0053072A">
        <w:rPr>
          <w:vertAlign w:val="superscript"/>
          <w:lang w:val="lv-LV"/>
        </w:rPr>
        <w:footnoteReference w:id="16"/>
      </w:r>
      <w:r w:rsidRPr="0053072A">
        <w:rPr>
          <w:lang w:val="lv-LV"/>
        </w:rPr>
        <w:t xml:space="preserve"> Naftas produktu pieprasījuma līmeni ietekmē arī Krievijas iebrukums Ukrainā – tiek prognozēts, ka, ja konflikts ievilksies, tad tā rezultātā var kristies pieprasījums pēc naftas produktiem.</w:t>
      </w:r>
      <w:r w:rsidRPr="0053072A">
        <w:rPr>
          <w:vertAlign w:val="superscript"/>
          <w:lang w:val="lv-LV"/>
        </w:rPr>
        <w:footnoteReference w:id="17"/>
      </w:r>
      <w:r w:rsidRPr="0053072A">
        <w:rPr>
          <w:lang w:val="lv-LV"/>
        </w:rPr>
        <w:t xml:space="preserve"> Tāpat jau pašlaik ir vērojams cenu kāpums naftas produktiem. Šo notikumu ilgtermiņa ietekmi pašreizējā brīdī ir gandrīz neiespējami paredzēt, taču tas var atstāt ievērojamu ietekmi uz šajā pētījumā aprakstītajiem pieņēmumiem.</w:t>
      </w:r>
    </w:p>
    <w:p w14:paraId="0000010E" w14:textId="77777777" w:rsidR="007F09CB" w:rsidRPr="0053072A" w:rsidRDefault="00DB28EC">
      <w:pPr>
        <w:rPr>
          <w:lang w:val="lv-LV"/>
        </w:rPr>
      </w:pPr>
      <w:r w:rsidRPr="0053072A">
        <w:rPr>
          <w:lang w:val="lv-LV"/>
        </w:rPr>
        <w:t>Ņemot vērā iepriekš aprakstīto metodoloģiju un prognozētās izmaiņas naftas produktu patēriņā, pielietojot līdzvērtīgus prognozētos pieprasījuma izaugsmes pieauguma tempus, ir iespējams aprēķināt arī attiecīgās izmaiņas drošības rezervju apjomā, par kurām nākotnē būs atbildīga veidotā aģentūra (7. attēls).</w:t>
      </w:r>
    </w:p>
    <w:p w14:paraId="0000010F" w14:textId="77777777" w:rsidR="007F09CB" w:rsidRPr="0053072A" w:rsidRDefault="007F09CB">
      <w:pPr>
        <w:rPr>
          <w:lang w:val="lv-LV"/>
        </w:rPr>
      </w:pPr>
    </w:p>
    <w:p w14:paraId="00000110" w14:textId="77777777" w:rsidR="007F09CB" w:rsidRPr="0053072A" w:rsidRDefault="007F09CB">
      <w:pPr>
        <w:rPr>
          <w:lang w:val="lv-LV"/>
        </w:rPr>
      </w:pPr>
    </w:p>
    <w:p w14:paraId="00000111" w14:textId="77777777" w:rsidR="007F09CB" w:rsidRPr="0053072A" w:rsidRDefault="007F09CB">
      <w:pPr>
        <w:rPr>
          <w:lang w:val="lv-LV"/>
        </w:rPr>
      </w:pPr>
    </w:p>
    <w:p w14:paraId="00000112" w14:textId="77777777" w:rsidR="007F09CB" w:rsidRPr="0053072A" w:rsidRDefault="007F09CB">
      <w:pPr>
        <w:rPr>
          <w:lang w:val="lv-LV"/>
        </w:rPr>
      </w:pPr>
    </w:p>
    <w:p w14:paraId="00000113" w14:textId="77777777" w:rsidR="007F09CB" w:rsidRPr="0053072A" w:rsidRDefault="007F09CB">
      <w:pPr>
        <w:rPr>
          <w:highlight w:val="yellow"/>
          <w:lang w:val="lv-LV"/>
        </w:rPr>
      </w:pPr>
    </w:p>
    <w:p w14:paraId="00000114" w14:textId="77777777" w:rsidR="007F09CB" w:rsidRPr="0053072A" w:rsidRDefault="007F09CB">
      <w:pPr>
        <w:spacing w:after="0"/>
        <w:jc w:val="left"/>
        <w:rPr>
          <w:rFonts w:ascii="Arial" w:eastAsia="Arial" w:hAnsi="Arial" w:cs="Arial"/>
          <w:lang w:val="lv-LV"/>
        </w:rPr>
      </w:pPr>
    </w:p>
    <w:p w14:paraId="00000115" w14:textId="77777777" w:rsidR="007F09CB" w:rsidRPr="0053072A" w:rsidRDefault="00DB28EC" w:rsidP="00224C1B">
      <w:pPr>
        <w:pStyle w:val="Caption"/>
        <w:framePr w:wrap="around"/>
        <w:rPr>
          <w:rFonts w:ascii="Arial" w:eastAsia="Arial" w:hAnsi="Arial" w:cs="Arial"/>
          <w:lang w:val="lv-LV"/>
        </w:rPr>
      </w:pPr>
      <w:r w:rsidRPr="0053072A">
        <w:rPr>
          <w:lang w:val="lv-LV"/>
        </w:rPr>
        <w:lastRenderedPageBreak/>
        <w:t>7. attēls. Prognozētais drošības rezervju apjoms, 2023.-2029. gads, t</w:t>
      </w:r>
    </w:p>
    <w:p w14:paraId="00000116" w14:textId="77777777" w:rsidR="007F09CB" w:rsidRPr="0053072A" w:rsidRDefault="00DB28EC">
      <w:pPr>
        <w:keepNext/>
        <w:keepLines/>
        <w:spacing w:after="0"/>
        <w:jc w:val="left"/>
        <w:rPr>
          <w:rFonts w:ascii="Arial" w:eastAsia="Arial" w:hAnsi="Arial" w:cs="Arial"/>
          <w:lang w:val="lv-LV"/>
        </w:rPr>
      </w:pPr>
      <w:r w:rsidRPr="0053072A">
        <w:rPr>
          <w:rFonts w:ascii="Arial" w:eastAsia="Arial" w:hAnsi="Arial" w:cs="Arial"/>
          <w:noProof/>
          <w:lang w:val="lv-LV"/>
        </w:rPr>
        <w:drawing>
          <wp:inline distT="114300" distB="114300" distL="114300" distR="114300" wp14:anchorId="2C774AB5" wp14:editId="7779C45D">
            <wp:extent cx="5996630" cy="2971800"/>
            <wp:effectExtent l="0" t="0" r="0" b="0"/>
            <wp:docPr id="13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9"/>
                    <a:srcRect/>
                    <a:stretch>
                      <a:fillRect/>
                    </a:stretch>
                  </pic:blipFill>
                  <pic:spPr>
                    <a:xfrm>
                      <a:off x="0" y="0"/>
                      <a:ext cx="5996630" cy="2971800"/>
                    </a:xfrm>
                    <a:prstGeom prst="rect">
                      <a:avLst/>
                    </a:prstGeom>
                    <a:ln/>
                  </pic:spPr>
                </pic:pic>
              </a:graphicData>
            </a:graphic>
          </wp:inline>
        </w:drawing>
      </w:r>
    </w:p>
    <w:p w14:paraId="00000117" w14:textId="77777777" w:rsidR="007F09CB" w:rsidRPr="0053072A" w:rsidRDefault="00DB28EC" w:rsidP="00224C1B">
      <w:pPr>
        <w:pStyle w:val="Bottomcaption"/>
        <w:framePr w:wrap="around"/>
        <w:rPr>
          <w:lang w:val="lv-LV"/>
        </w:rPr>
      </w:pPr>
      <w:r w:rsidRPr="0053072A">
        <w:rPr>
          <w:lang w:val="lv-LV"/>
        </w:rPr>
        <w:t>Avots: pētījuma autoru aprēķini</w:t>
      </w:r>
    </w:p>
    <w:p w14:paraId="00000118" w14:textId="77777777" w:rsidR="007F09CB" w:rsidRPr="0053072A" w:rsidRDefault="00DB28EC">
      <w:pPr>
        <w:rPr>
          <w:lang w:val="lv-LV"/>
        </w:rPr>
      </w:pPr>
      <w:r w:rsidRPr="0053072A">
        <w:rPr>
          <w:lang w:val="lv-LV"/>
        </w:rPr>
        <w:t>Kā redzams 8. attēlā, tad, pēc veiktajiem aprēķiniem, sākotnēji tiek prognozēts drošības rezervju apjoma neliels pieaugums, kas apjoma ziņā maksimumu sasniegtu 2023. gadā (306 672 t). Pēc tam būtu gaidāms pakāpenisks kritums un 2029. gadā, kas ir pēdējais analizētais gads, tiktu sasniegts zemākais drošības rezervju apjoms – 290 641 t, kas būtu 4,5% samazinājums salīdzinājumā ar 2022. gada uzglabāto drošības rezervju apjomu. Ņemot vērā paredzamo naftas produktu pieprasījuma kritumu šajā reģionā nākotnē, pēc esošajiem pieņēmumiem var secināt to, ka arī pēc 2029. gada drošības rezervju apjoms var piedzīvot kritumu.</w:t>
      </w:r>
    </w:p>
    <w:p w14:paraId="00000119" w14:textId="77777777" w:rsidR="007F09CB" w:rsidRPr="0053072A" w:rsidRDefault="00DB28EC">
      <w:pPr>
        <w:rPr>
          <w:b/>
          <w:lang w:val="lv-LV"/>
        </w:rPr>
      </w:pPr>
      <w:r w:rsidRPr="0053072A">
        <w:rPr>
          <w:lang w:val="lv-LV"/>
        </w:rPr>
        <w:t>Tālākajos aprēķinos tiek izmantots arī sadalījums pa drošības rezervju ietvaros esošajiem naftas produktu veidiem – benzīnu un dīzeļdegvielu. Nākotnes pieņēmumiem tiek izmantots 2021. gadā spēkā esošais sadalījums, respektīvi, tiek paredzēts, ka arī nākamajos gados benzīns sastādīs 34% no kopējām drošības rezervēm, bet dīzeļdegviela – 66%. Kā minēts pirms tam, drošības rezervju sadalījums pa kategorijām vēsturiski ir bijis atšķirīgs, bet līdz ar drošības rezervju iegādi valsts īpašumā, jaunizveidotajai aģentūrai, konsultējoties ar citām iesaistītajām pusēm šīs nozares ietvaros, ir iespējams veidot optimālu sadalījumu, kas nepieciešams valsts vajadzībām enerģētiskās krīzes situācijā.</w:t>
      </w:r>
    </w:p>
    <w:p w14:paraId="0000011A" w14:textId="77777777" w:rsidR="007F09CB" w:rsidRPr="0053072A" w:rsidRDefault="00DB28EC">
      <w:pPr>
        <w:pStyle w:val="Heading2"/>
        <w:numPr>
          <w:ilvl w:val="1"/>
          <w:numId w:val="10"/>
        </w:numPr>
        <w:ind w:left="0" w:firstLine="0"/>
        <w:rPr>
          <w:lang w:val="lv-LV"/>
        </w:rPr>
      </w:pPr>
      <w:bookmarkStart w:id="13" w:name="_Toc98774212"/>
      <w:r w:rsidRPr="0053072A">
        <w:rPr>
          <w:lang w:val="lv-LV"/>
        </w:rPr>
        <w:t>Naftas produktu cenas, tās ietekmējošie faktori un nākotnes cenas modelēšana</w:t>
      </w:r>
      <w:bookmarkEnd w:id="13"/>
    </w:p>
    <w:p w14:paraId="0000011B" w14:textId="77777777" w:rsidR="007F09CB" w:rsidRPr="0053072A" w:rsidRDefault="00DB28EC">
      <w:pPr>
        <w:jc w:val="left"/>
        <w:rPr>
          <w:lang w:val="lv-LV"/>
        </w:rPr>
      </w:pPr>
      <w:r w:rsidRPr="0053072A">
        <w:rPr>
          <w:lang w:val="lv-LV"/>
        </w:rPr>
        <w:t>Būtiska loma, saistībā ar finanšu aprēķiniem, ir naftas produktu cenām, par kurām tiks iegādāts plānotais drošības rezervju apjoms. Lai to prognozētu, tiek izmantoti sekojoši avoti:</w:t>
      </w:r>
    </w:p>
    <w:p w14:paraId="0000011C" w14:textId="77777777" w:rsidR="007F09CB" w:rsidRPr="0053072A" w:rsidRDefault="00DB28EC">
      <w:pPr>
        <w:numPr>
          <w:ilvl w:val="0"/>
          <w:numId w:val="23"/>
        </w:numPr>
        <w:jc w:val="left"/>
        <w:rPr>
          <w:lang w:val="lv-LV"/>
        </w:rPr>
      </w:pPr>
      <w:r w:rsidRPr="0053072A">
        <w:rPr>
          <w:lang w:val="lv-LV"/>
        </w:rPr>
        <w:t>PKN Orlen dīzeļdegvielas un benzīna vidējā svērtā vairumtirdzniecības cena uz 11.02.2022.</w:t>
      </w:r>
      <w:r w:rsidRPr="0053072A">
        <w:rPr>
          <w:vertAlign w:val="superscript"/>
          <w:lang w:val="lv-LV"/>
        </w:rPr>
        <w:footnoteReference w:id="18"/>
      </w:r>
      <w:r w:rsidRPr="0053072A">
        <w:rPr>
          <w:lang w:val="lv-LV"/>
        </w:rPr>
        <w:t>;</w:t>
      </w:r>
    </w:p>
    <w:p w14:paraId="0000011D" w14:textId="77777777" w:rsidR="007F09CB" w:rsidRPr="0053072A" w:rsidRDefault="00DB28EC">
      <w:pPr>
        <w:numPr>
          <w:ilvl w:val="0"/>
          <w:numId w:val="23"/>
        </w:numPr>
        <w:jc w:val="left"/>
        <w:rPr>
          <w:lang w:val="lv-LV"/>
        </w:rPr>
      </w:pPr>
      <w:r w:rsidRPr="0053072A">
        <w:rPr>
          <w:lang w:val="lv-LV"/>
        </w:rPr>
        <w:t>Deloitte Brent Spot naftas produktu cenu prognoze 2021.-2029. gadam.</w:t>
      </w:r>
      <w:r w:rsidRPr="0053072A">
        <w:rPr>
          <w:vertAlign w:val="superscript"/>
          <w:lang w:val="lv-LV"/>
        </w:rPr>
        <w:footnoteReference w:id="19"/>
      </w:r>
    </w:p>
    <w:p w14:paraId="0000011E" w14:textId="77777777" w:rsidR="007F09CB" w:rsidRPr="0053072A" w:rsidRDefault="007F09CB">
      <w:pPr>
        <w:spacing w:after="0"/>
        <w:jc w:val="left"/>
        <w:rPr>
          <w:rFonts w:ascii="Arial" w:eastAsia="Arial" w:hAnsi="Arial" w:cs="Arial"/>
          <w:lang w:val="lv-LV"/>
        </w:rPr>
      </w:pPr>
    </w:p>
    <w:p w14:paraId="0000011F" w14:textId="77777777" w:rsidR="007F09CB" w:rsidRPr="0053072A" w:rsidRDefault="00DB28EC" w:rsidP="00224C1B">
      <w:pPr>
        <w:pStyle w:val="Caption"/>
        <w:framePr w:wrap="around"/>
        <w:rPr>
          <w:lang w:val="lv-LV"/>
        </w:rPr>
      </w:pPr>
      <w:r w:rsidRPr="0053072A">
        <w:rPr>
          <w:lang w:val="lv-LV"/>
        </w:rPr>
        <w:lastRenderedPageBreak/>
        <w:t>Tabula 2. Izmantotie dati un pieņēmumi vidējās svērtās vairumtirdzniecības cenas konvertācijai</w:t>
      </w:r>
    </w:p>
    <w:p w14:paraId="00000120" w14:textId="77777777" w:rsidR="007F09CB" w:rsidRPr="0053072A" w:rsidRDefault="007F09CB">
      <w:pPr>
        <w:spacing w:after="0"/>
        <w:jc w:val="left"/>
        <w:rPr>
          <w:rFonts w:ascii="Arial" w:eastAsia="Arial" w:hAnsi="Arial" w:cs="Arial"/>
          <w:b/>
          <w:lang w:val="lv-LV"/>
        </w:rPr>
      </w:pPr>
    </w:p>
    <w:tbl>
      <w:tblPr>
        <w:tblStyle w:val="afc"/>
        <w:tblW w:w="9210" w:type="dxa"/>
        <w:tblInd w:w="11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600" w:firstRow="0" w:lastRow="0" w:firstColumn="0" w:lastColumn="0" w:noHBand="1" w:noVBand="1"/>
      </w:tblPr>
      <w:tblGrid>
        <w:gridCol w:w="7770"/>
        <w:gridCol w:w="1440"/>
      </w:tblGrid>
      <w:tr w:rsidR="007F09CB" w:rsidRPr="0053072A" w14:paraId="5273389A" w14:textId="77777777">
        <w:trPr>
          <w:trHeight w:val="50"/>
        </w:trPr>
        <w:tc>
          <w:tcPr>
            <w:tcW w:w="7770" w:type="dxa"/>
            <w:shd w:val="clear" w:color="auto" w:fill="134753"/>
            <w:tcMar>
              <w:top w:w="100" w:type="dxa"/>
              <w:left w:w="100" w:type="dxa"/>
              <w:bottom w:w="100" w:type="dxa"/>
              <w:right w:w="100" w:type="dxa"/>
            </w:tcMar>
            <w:vAlign w:val="center"/>
          </w:tcPr>
          <w:p w14:paraId="00000121" w14:textId="77777777" w:rsidR="007F09CB" w:rsidRPr="0053072A" w:rsidRDefault="00DB28EC" w:rsidP="00224C1B">
            <w:pPr>
              <w:widowControl w:val="0"/>
              <w:spacing w:before="0" w:after="0"/>
              <w:jc w:val="left"/>
              <w:rPr>
                <w:color w:val="FFFFFF"/>
                <w:lang w:val="lv-LV"/>
              </w:rPr>
            </w:pPr>
            <w:r w:rsidRPr="0053072A">
              <w:rPr>
                <w:color w:val="FFFFFF"/>
                <w:lang w:val="lv-LV"/>
              </w:rPr>
              <w:t>Cenu ietekmējošais faktors</w:t>
            </w:r>
          </w:p>
        </w:tc>
        <w:tc>
          <w:tcPr>
            <w:tcW w:w="1440" w:type="dxa"/>
            <w:shd w:val="clear" w:color="auto" w:fill="134753"/>
            <w:tcMar>
              <w:top w:w="100" w:type="dxa"/>
              <w:left w:w="100" w:type="dxa"/>
              <w:bottom w:w="100" w:type="dxa"/>
              <w:right w:w="100" w:type="dxa"/>
            </w:tcMar>
            <w:vAlign w:val="center"/>
          </w:tcPr>
          <w:p w14:paraId="00000122" w14:textId="77777777" w:rsidR="007F09CB" w:rsidRPr="0053072A" w:rsidRDefault="00DB28EC" w:rsidP="00224C1B">
            <w:pPr>
              <w:widowControl w:val="0"/>
              <w:spacing w:before="0" w:after="0"/>
              <w:jc w:val="left"/>
              <w:rPr>
                <w:color w:val="FFFFFF"/>
                <w:lang w:val="lv-LV"/>
              </w:rPr>
            </w:pPr>
            <w:r w:rsidRPr="0053072A">
              <w:rPr>
                <w:color w:val="FFFFFF"/>
                <w:lang w:val="lv-LV"/>
              </w:rPr>
              <w:t>Vērtība</w:t>
            </w:r>
          </w:p>
        </w:tc>
      </w:tr>
      <w:tr w:rsidR="007F09CB" w:rsidRPr="00224C1B" w14:paraId="294F41AA" w14:textId="77777777" w:rsidTr="00224C1B">
        <w:trPr>
          <w:trHeight w:val="18"/>
        </w:trPr>
        <w:tc>
          <w:tcPr>
            <w:tcW w:w="7770" w:type="dxa"/>
            <w:shd w:val="clear" w:color="auto" w:fill="F2F2F2"/>
            <w:tcMar>
              <w:top w:w="100" w:type="dxa"/>
              <w:left w:w="100" w:type="dxa"/>
              <w:bottom w:w="100" w:type="dxa"/>
              <w:right w:w="100" w:type="dxa"/>
            </w:tcMar>
            <w:vAlign w:val="center"/>
          </w:tcPr>
          <w:p w14:paraId="00000123" w14:textId="77777777" w:rsidR="007F09CB" w:rsidRPr="00224C1B" w:rsidRDefault="00DB28EC" w:rsidP="00224C1B">
            <w:pPr>
              <w:widowControl w:val="0"/>
              <w:spacing w:before="0" w:after="0"/>
              <w:jc w:val="left"/>
              <w:rPr>
                <w:b w:val="0"/>
                <w:bCs w:val="0"/>
                <w:lang w:val="lv-LV"/>
              </w:rPr>
            </w:pPr>
            <w:r w:rsidRPr="00224C1B">
              <w:rPr>
                <w:b w:val="0"/>
                <w:bCs w:val="0"/>
                <w:lang w:val="lv-LV"/>
              </w:rPr>
              <w:t>Benzīna vairumtirdzniecības cena, 11.02.2022, PLN/m</w:t>
            </w:r>
            <w:r w:rsidRPr="00224C1B">
              <w:rPr>
                <w:b w:val="0"/>
                <w:bCs w:val="0"/>
                <w:vertAlign w:val="superscript"/>
                <w:lang w:val="lv-LV"/>
              </w:rPr>
              <w:t>3</w:t>
            </w:r>
            <w:r w:rsidRPr="00224C1B">
              <w:rPr>
                <w:b w:val="0"/>
                <w:bCs w:val="0"/>
                <w:lang w:val="lv-LV"/>
              </w:rPr>
              <w:t xml:space="preserve"> (PKN Orlen dati)</w:t>
            </w:r>
          </w:p>
        </w:tc>
        <w:tc>
          <w:tcPr>
            <w:tcW w:w="1440" w:type="dxa"/>
            <w:shd w:val="clear" w:color="auto" w:fill="F2F2F2"/>
            <w:tcMar>
              <w:top w:w="100" w:type="dxa"/>
              <w:left w:w="100" w:type="dxa"/>
              <w:bottom w:w="100" w:type="dxa"/>
              <w:right w:w="100" w:type="dxa"/>
            </w:tcMar>
            <w:vAlign w:val="center"/>
          </w:tcPr>
          <w:p w14:paraId="00000124" w14:textId="77777777" w:rsidR="007F09CB" w:rsidRPr="00224C1B" w:rsidRDefault="00DB28EC" w:rsidP="00224C1B">
            <w:pPr>
              <w:widowControl w:val="0"/>
              <w:spacing w:before="0" w:after="0"/>
              <w:jc w:val="left"/>
              <w:rPr>
                <w:b w:val="0"/>
                <w:bCs w:val="0"/>
                <w:lang w:val="lv-LV"/>
              </w:rPr>
            </w:pPr>
            <w:r w:rsidRPr="00224C1B">
              <w:rPr>
                <w:b w:val="0"/>
                <w:bCs w:val="0"/>
                <w:lang w:val="lv-LV"/>
              </w:rPr>
              <w:t>4868</w:t>
            </w:r>
          </w:p>
        </w:tc>
      </w:tr>
      <w:tr w:rsidR="007F09CB" w:rsidRPr="00224C1B" w14:paraId="6096E8CD" w14:textId="77777777">
        <w:trPr>
          <w:trHeight w:val="20"/>
        </w:trPr>
        <w:tc>
          <w:tcPr>
            <w:tcW w:w="7770" w:type="dxa"/>
            <w:shd w:val="clear" w:color="auto" w:fill="F2F2F2"/>
            <w:tcMar>
              <w:top w:w="100" w:type="dxa"/>
              <w:left w:w="100" w:type="dxa"/>
              <w:bottom w:w="100" w:type="dxa"/>
              <w:right w:w="100" w:type="dxa"/>
            </w:tcMar>
            <w:vAlign w:val="center"/>
          </w:tcPr>
          <w:p w14:paraId="00000125" w14:textId="77777777" w:rsidR="007F09CB" w:rsidRPr="00224C1B" w:rsidRDefault="00DB28EC" w:rsidP="00224C1B">
            <w:pPr>
              <w:widowControl w:val="0"/>
              <w:spacing w:before="0" w:after="0"/>
              <w:jc w:val="left"/>
              <w:rPr>
                <w:b w:val="0"/>
                <w:bCs w:val="0"/>
                <w:lang w:val="lv-LV"/>
              </w:rPr>
            </w:pPr>
            <w:r w:rsidRPr="00224C1B">
              <w:rPr>
                <w:b w:val="0"/>
                <w:bCs w:val="0"/>
                <w:lang w:val="lv-LV"/>
              </w:rPr>
              <w:t>Dīzeļdegvielas vairumtirdzniecības cena, 11.02.2022., PLN/m</w:t>
            </w:r>
            <w:r w:rsidRPr="00224C1B">
              <w:rPr>
                <w:b w:val="0"/>
                <w:bCs w:val="0"/>
                <w:vertAlign w:val="superscript"/>
                <w:lang w:val="lv-LV"/>
              </w:rPr>
              <w:t>3</w:t>
            </w:r>
            <w:r w:rsidRPr="00224C1B">
              <w:rPr>
                <w:b w:val="0"/>
                <w:bCs w:val="0"/>
                <w:lang w:val="lv-LV"/>
              </w:rPr>
              <w:t xml:space="preserve"> (PKN Orlen dati)</w:t>
            </w:r>
          </w:p>
        </w:tc>
        <w:tc>
          <w:tcPr>
            <w:tcW w:w="1440" w:type="dxa"/>
            <w:shd w:val="clear" w:color="auto" w:fill="F2F2F2"/>
            <w:tcMar>
              <w:top w:w="100" w:type="dxa"/>
              <w:left w:w="100" w:type="dxa"/>
              <w:bottom w:w="100" w:type="dxa"/>
              <w:right w:w="100" w:type="dxa"/>
            </w:tcMar>
            <w:vAlign w:val="center"/>
          </w:tcPr>
          <w:p w14:paraId="00000126" w14:textId="77777777" w:rsidR="007F09CB" w:rsidRPr="00224C1B" w:rsidRDefault="00DB28EC" w:rsidP="00224C1B">
            <w:pPr>
              <w:widowControl w:val="0"/>
              <w:spacing w:before="0" w:after="0"/>
              <w:jc w:val="left"/>
              <w:rPr>
                <w:b w:val="0"/>
                <w:bCs w:val="0"/>
                <w:lang w:val="lv-LV"/>
              </w:rPr>
            </w:pPr>
            <w:r w:rsidRPr="00224C1B">
              <w:rPr>
                <w:b w:val="0"/>
                <w:bCs w:val="0"/>
                <w:lang w:val="lv-LV"/>
              </w:rPr>
              <w:t>4994</w:t>
            </w:r>
          </w:p>
        </w:tc>
      </w:tr>
      <w:tr w:rsidR="007F09CB" w:rsidRPr="00224C1B" w14:paraId="186DFCB5" w14:textId="77777777">
        <w:trPr>
          <w:trHeight w:val="20"/>
        </w:trPr>
        <w:tc>
          <w:tcPr>
            <w:tcW w:w="7770" w:type="dxa"/>
            <w:shd w:val="clear" w:color="auto" w:fill="F2F2F2"/>
            <w:tcMar>
              <w:top w:w="100" w:type="dxa"/>
              <w:left w:w="100" w:type="dxa"/>
              <w:bottom w:w="100" w:type="dxa"/>
              <w:right w:w="100" w:type="dxa"/>
            </w:tcMar>
            <w:vAlign w:val="center"/>
          </w:tcPr>
          <w:p w14:paraId="00000127" w14:textId="77777777" w:rsidR="007F09CB" w:rsidRPr="00224C1B" w:rsidRDefault="00DB28EC" w:rsidP="00224C1B">
            <w:pPr>
              <w:widowControl w:val="0"/>
              <w:spacing w:before="0" w:after="0"/>
              <w:jc w:val="left"/>
              <w:rPr>
                <w:b w:val="0"/>
                <w:bCs w:val="0"/>
                <w:lang w:val="lv-LV"/>
              </w:rPr>
            </w:pPr>
            <w:r w:rsidRPr="00224C1B">
              <w:rPr>
                <w:b w:val="0"/>
                <w:bCs w:val="0"/>
                <w:lang w:val="lv-LV"/>
              </w:rPr>
              <w:t>Benzīna īpatsvars no kopējām drošības rezervēm, % (pieņēmums pētījuma ietvaros)</w:t>
            </w:r>
          </w:p>
        </w:tc>
        <w:tc>
          <w:tcPr>
            <w:tcW w:w="1440" w:type="dxa"/>
            <w:shd w:val="clear" w:color="auto" w:fill="F2F2F2"/>
            <w:tcMar>
              <w:top w:w="100" w:type="dxa"/>
              <w:left w:w="100" w:type="dxa"/>
              <w:bottom w:w="100" w:type="dxa"/>
              <w:right w:w="100" w:type="dxa"/>
            </w:tcMar>
            <w:vAlign w:val="center"/>
          </w:tcPr>
          <w:p w14:paraId="00000128" w14:textId="77777777" w:rsidR="007F09CB" w:rsidRPr="00224C1B" w:rsidRDefault="00DB28EC" w:rsidP="00224C1B">
            <w:pPr>
              <w:widowControl w:val="0"/>
              <w:spacing w:before="0" w:after="0"/>
              <w:jc w:val="left"/>
              <w:rPr>
                <w:b w:val="0"/>
                <w:bCs w:val="0"/>
                <w:lang w:val="lv-LV"/>
              </w:rPr>
            </w:pPr>
            <w:r w:rsidRPr="00224C1B">
              <w:rPr>
                <w:b w:val="0"/>
                <w:bCs w:val="0"/>
                <w:lang w:val="lv-LV"/>
              </w:rPr>
              <w:t>34</w:t>
            </w:r>
          </w:p>
        </w:tc>
      </w:tr>
      <w:tr w:rsidR="007F09CB" w:rsidRPr="00224C1B" w14:paraId="4E846560" w14:textId="77777777">
        <w:trPr>
          <w:trHeight w:val="20"/>
        </w:trPr>
        <w:tc>
          <w:tcPr>
            <w:tcW w:w="7770" w:type="dxa"/>
            <w:shd w:val="clear" w:color="auto" w:fill="F2F2F2"/>
            <w:tcMar>
              <w:top w:w="100" w:type="dxa"/>
              <w:left w:w="100" w:type="dxa"/>
              <w:bottom w:w="100" w:type="dxa"/>
              <w:right w:w="100" w:type="dxa"/>
            </w:tcMar>
            <w:vAlign w:val="center"/>
          </w:tcPr>
          <w:p w14:paraId="00000129" w14:textId="77777777" w:rsidR="007F09CB" w:rsidRPr="00224C1B" w:rsidRDefault="00DB28EC" w:rsidP="00224C1B">
            <w:pPr>
              <w:widowControl w:val="0"/>
              <w:spacing w:before="0" w:after="0"/>
              <w:jc w:val="left"/>
              <w:rPr>
                <w:b w:val="0"/>
                <w:bCs w:val="0"/>
                <w:lang w:val="lv-LV"/>
              </w:rPr>
            </w:pPr>
            <w:r w:rsidRPr="00224C1B">
              <w:rPr>
                <w:b w:val="0"/>
                <w:bCs w:val="0"/>
                <w:lang w:val="lv-LV"/>
              </w:rPr>
              <w:t>Dīzeļdegvielas īpatsvars no kopējām drošības rezervēm, % (pieņēmums pētījuma ietvaros)</w:t>
            </w:r>
          </w:p>
        </w:tc>
        <w:tc>
          <w:tcPr>
            <w:tcW w:w="1440" w:type="dxa"/>
            <w:shd w:val="clear" w:color="auto" w:fill="F2F2F2"/>
            <w:tcMar>
              <w:top w:w="100" w:type="dxa"/>
              <w:left w:w="100" w:type="dxa"/>
              <w:bottom w:w="100" w:type="dxa"/>
              <w:right w:w="100" w:type="dxa"/>
            </w:tcMar>
            <w:vAlign w:val="center"/>
          </w:tcPr>
          <w:p w14:paraId="0000012A" w14:textId="77777777" w:rsidR="007F09CB" w:rsidRPr="00224C1B" w:rsidRDefault="00DB28EC" w:rsidP="00224C1B">
            <w:pPr>
              <w:widowControl w:val="0"/>
              <w:spacing w:before="0" w:after="0"/>
              <w:jc w:val="left"/>
              <w:rPr>
                <w:b w:val="0"/>
                <w:bCs w:val="0"/>
                <w:lang w:val="lv-LV"/>
              </w:rPr>
            </w:pPr>
            <w:r w:rsidRPr="00224C1B">
              <w:rPr>
                <w:b w:val="0"/>
                <w:bCs w:val="0"/>
                <w:lang w:val="lv-LV"/>
              </w:rPr>
              <w:t>66</w:t>
            </w:r>
          </w:p>
        </w:tc>
      </w:tr>
      <w:tr w:rsidR="007F09CB" w:rsidRPr="00224C1B" w14:paraId="4831E180" w14:textId="77777777">
        <w:trPr>
          <w:trHeight w:val="20"/>
        </w:trPr>
        <w:tc>
          <w:tcPr>
            <w:tcW w:w="7770" w:type="dxa"/>
            <w:shd w:val="clear" w:color="auto" w:fill="F2F2F2"/>
            <w:tcMar>
              <w:top w:w="100" w:type="dxa"/>
              <w:left w:w="100" w:type="dxa"/>
              <w:bottom w:w="100" w:type="dxa"/>
              <w:right w:w="100" w:type="dxa"/>
            </w:tcMar>
            <w:vAlign w:val="center"/>
          </w:tcPr>
          <w:p w14:paraId="0000012B" w14:textId="77777777" w:rsidR="007F09CB" w:rsidRPr="00224C1B" w:rsidRDefault="00DB28EC" w:rsidP="00224C1B">
            <w:pPr>
              <w:widowControl w:val="0"/>
              <w:spacing w:before="0" w:after="0"/>
              <w:jc w:val="left"/>
              <w:rPr>
                <w:b w:val="0"/>
                <w:bCs w:val="0"/>
                <w:lang w:val="lv-LV"/>
              </w:rPr>
            </w:pPr>
            <w:r w:rsidRPr="00224C1B">
              <w:rPr>
                <w:b w:val="0"/>
                <w:bCs w:val="0"/>
                <w:lang w:val="lv-LV"/>
              </w:rPr>
              <w:t>Vidējā svērtā degvielas vairumtirdzniecības cena, PLN/m</w:t>
            </w:r>
            <w:r w:rsidRPr="00224C1B">
              <w:rPr>
                <w:b w:val="0"/>
                <w:bCs w:val="0"/>
                <w:vertAlign w:val="superscript"/>
                <w:lang w:val="lv-LV"/>
              </w:rPr>
              <w:t>3</w:t>
            </w:r>
            <w:r w:rsidRPr="00224C1B">
              <w:rPr>
                <w:b w:val="0"/>
                <w:bCs w:val="0"/>
                <w:lang w:val="lv-LV"/>
              </w:rPr>
              <w:t xml:space="preserve"> (aprēķins)</w:t>
            </w:r>
          </w:p>
        </w:tc>
        <w:tc>
          <w:tcPr>
            <w:tcW w:w="1440" w:type="dxa"/>
            <w:shd w:val="clear" w:color="auto" w:fill="F2F2F2"/>
            <w:tcMar>
              <w:top w:w="100" w:type="dxa"/>
              <w:left w:w="100" w:type="dxa"/>
              <w:bottom w:w="100" w:type="dxa"/>
              <w:right w:w="100" w:type="dxa"/>
            </w:tcMar>
            <w:vAlign w:val="center"/>
          </w:tcPr>
          <w:p w14:paraId="0000012C" w14:textId="77777777" w:rsidR="007F09CB" w:rsidRPr="00224C1B" w:rsidRDefault="00DB28EC" w:rsidP="00224C1B">
            <w:pPr>
              <w:widowControl w:val="0"/>
              <w:spacing w:before="0" w:after="0"/>
              <w:jc w:val="left"/>
              <w:rPr>
                <w:b w:val="0"/>
                <w:bCs w:val="0"/>
                <w:lang w:val="lv-LV"/>
              </w:rPr>
            </w:pPr>
            <w:r w:rsidRPr="00224C1B">
              <w:rPr>
                <w:b w:val="0"/>
                <w:bCs w:val="0"/>
                <w:lang w:val="lv-LV"/>
              </w:rPr>
              <w:t>4951,16</w:t>
            </w:r>
          </w:p>
        </w:tc>
      </w:tr>
      <w:tr w:rsidR="007F09CB" w:rsidRPr="00224C1B" w14:paraId="3CA4CC3C" w14:textId="77777777">
        <w:trPr>
          <w:trHeight w:val="113"/>
        </w:trPr>
        <w:tc>
          <w:tcPr>
            <w:tcW w:w="7770" w:type="dxa"/>
            <w:shd w:val="clear" w:color="auto" w:fill="F2F2F2"/>
            <w:tcMar>
              <w:top w:w="100" w:type="dxa"/>
              <w:left w:w="100" w:type="dxa"/>
              <w:bottom w:w="100" w:type="dxa"/>
              <w:right w:w="100" w:type="dxa"/>
            </w:tcMar>
            <w:vAlign w:val="center"/>
          </w:tcPr>
          <w:p w14:paraId="0000012D" w14:textId="77777777" w:rsidR="007F09CB" w:rsidRPr="00224C1B" w:rsidRDefault="00DB28EC" w:rsidP="00224C1B">
            <w:pPr>
              <w:widowControl w:val="0"/>
              <w:spacing w:before="0" w:after="0"/>
              <w:jc w:val="left"/>
              <w:rPr>
                <w:b w:val="0"/>
                <w:bCs w:val="0"/>
                <w:lang w:val="lv-LV"/>
              </w:rPr>
            </w:pPr>
            <w:r w:rsidRPr="00224C1B">
              <w:rPr>
                <w:b w:val="0"/>
                <w:bCs w:val="0"/>
                <w:lang w:val="lv-LV"/>
              </w:rPr>
              <w:t>Vidējais svērtais degvielas blīvuma koeficients (naftas produktu vairumtirgotāja sniegti dati)</w:t>
            </w:r>
          </w:p>
        </w:tc>
        <w:tc>
          <w:tcPr>
            <w:tcW w:w="1440" w:type="dxa"/>
            <w:shd w:val="clear" w:color="auto" w:fill="F2F2F2"/>
            <w:tcMar>
              <w:top w:w="100" w:type="dxa"/>
              <w:left w:w="100" w:type="dxa"/>
              <w:bottom w:w="100" w:type="dxa"/>
              <w:right w:w="100" w:type="dxa"/>
            </w:tcMar>
            <w:vAlign w:val="center"/>
          </w:tcPr>
          <w:p w14:paraId="0000012E" w14:textId="77777777" w:rsidR="007F09CB" w:rsidRPr="00224C1B" w:rsidRDefault="00DB28EC" w:rsidP="00224C1B">
            <w:pPr>
              <w:widowControl w:val="0"/>
              <w:spacing w:before="0" w:after="0"/>
              <w:jc w:val="left"/>
              <w:rPr>
                <w:b w:val="0"/>
                <w:bCs w:val="0"/>
                <w:lang w:val="lv-LV"/>
              </w:rPr>
            </w:pPr>
            <w:r w:rsidRPr="00224C1B">
              <w:rPr>
                <w:b w:val="0"/>
                <w:bCs w:val="0"/>
                <w:lang w:val="lv-LV"/>
              </w:rPr>
              <w:t>0,8212</w:t>
            </w:r>
          </w:p>
        </w:tc>
      </w:tr>
      <w:tr w:rsidR="007F09CB" w:rsidRPr="00224C1B" w14:paraId="193BE062" w14:textId="77777777">
        <w:trPr>
          <w:trHeight w:val="20"/>
        </w:trPr>
        <w:tc>
          <w:tcPr>
            <w:tcW w:w="7770" w:type="dxa"/>
            <w:shd w:val="clear" w:color="auto" w:fill="F2F2F2"/>
            <w:tcMar>
              <w:top w:w="100" w:type="dxa"/>
              <w:left w:w="100" w:type="dxa"/>
              <w:bottom w:w="100" w:type="dxa"/>
              <w:right w:w="100" w:type="dxa"/>
            </w:tcMar>
            <w:vAlign w:val="center"/>
          </w:tcPr>
          <w:p w14:paraId="0000012F" w14:textId="77777777" w:rsidR="007F09CB" w:rsidRPr="00224C1B" w:rsidRDefault="00DB28EC" w:rsidP="00224C1B">
            <w:pPr>
              <w:widowControl w:val="0"/>
              <w:spacing w:before="0" w:after="0"/>
              <w:jc w:val="left"/>
              <w:rPr>
                <w:b w:val="0"/>
                <w:bCs w:val="0"/>
                <w:lang w:val="lv-LV"/>
              </w:rPr>
            </w:pPr>
            <w:r w:rsidRPr="00224C1B">
              <w:rPr>
                <w:b w:val="0"/>
                <w:bCs w:val="0"/>
                <w:lang w:val="lv-LV"/>
              </w:rPr>
              <w:t>10 gadu vidējais valūtas kurss (PLN/EUR), 11.02.2022 (Eiropas Centrālās Bankas dati)</w:t>
            </w:r>
          </w:p>
        </w:tc>
        <w:tc>
          <w:tcPr>
            <w:tcW w:w="1440" w:type="dxa"/>
            <w:shd w:val="clear" w:color="auto" w:fill="F2F2F2"/>
            <w:tcMar>
              <w:top w:w="100" w:type="dxa"/>
              <w:left w:w="100" w:type="dxa"/>
              <w:bottom w:w="100" w:type="dxa"/>
              <w:right w:w="100" w:type="dxa"/>
            </w:tcMar>
            <w:vAlign w:val="center"/>
          </w:tcPr>
          <w:p w14:paraId="00000130" w14:textId="77777777" w:rsidR="007F09CB" w:rsidRPr="00224C1B" w:rsidRDefault="00DB28EC" w:rsidP="00224C1B">
            <w:pPr>
              <w:widowControl w:val="0"/>
              <w:spacing w:before="0" w:after="0"/>
              <w:jc w:val="left"/>
              <w:rPr>
                <w:b w:val="0"/>
                <w:bCs w:val="0"/>
                <w:lang w:val="lv-LV"/>
              </w:rPr>
            </w:pPr>
            <w:r w:rsidRPr="00224C1B">
              <w:rPr>
                <w:b w:val="0"/>
                <w:bCs w:val="0"/>
                <w:lang w:val="lv-LV"/>
              </w:rPr>
              <w:t>0,233</w:t>
            </w:r>
          </w:p>
        </w:tc>
      </w:tr>
      <w:tr w:rsidR="007F09CB" w:rsidRPr="00224C1B" w14:paraId="291BC720" w14:textId="77777777">
        <w:trPr>
          <w:trHeight w:val="20"/>
        </w:trPr>
        <w:tc>
          <w:tcPr>
            <w:tcW w:w="7770" w:type="dxa"/>
            <w:shd w:val="clear" w:color="auto" w:fill="F2F2F2"/>
            <w:tcMar>
              <w:top w:w="100" w:type="dxa"/>
              <w:left w:w="100" w:type="dxa"/>
              <w:bottom w:w="100" w:type="dxa"/>
              <w:right w:w="100" w:type="dxa"/>
            </w:tcMar>
            <w:vAlign w:val="center"/>
          </w:tcPr>
          <w:p w14:paraId="00000131" w14:textId="77777777" w:rsidR="007F09CB" w:rsidRPr="00224C1B" w:rsidRDefault="00DB28EC" w:rsidP="00224C1B">
            <w:pPr>
              <w:widowControl w:val="0"/>
              <w:spacing w:before="0" w:after="0"/>
              <w:jc w:val="left"/>
              <w:rPr>
                <w:b w:val="0"/>
                <w:bCs w:val="0"/>
                <w:lang w:val="lv-LV"/>
              </w:rPr>
            </w:pPr>
            <w:r w:rsidRPr="00224C1B">
              <w:rPr>
                <w:b w:val="0"/>
                <w:bCs w:val="0"/>
                <w:lang w:val="lv-LV"/>
              </w:rPr>
              <w:t>Vidējā svērtā vairumtirdzniecības cena, EUR/t (aprēķins)</w:t>
            </w:r>
          </w:p>
        </w:tc>
        <w:tc>
          <w:tcPr>
            <w:tcW w:w="1440" w:type="dxa"/>
            <w:shd w:val="clear" w:color="auto" w:fill="F2F2F2"/>
            <w:tcMar>
              <w:top w:w="100" w:type="dxa"/>
              <w:left w:w="100" w:type="dxa"/>
              <w:bottom w:w="100" w:type="dxa"/>
              <w:right w:w="100" w:type="dxa"/>
            </w:tcMar>
            <w:vAlign w:val="center"/>
          </w:tcPr>
          <w:p w14:paraId="00000132" w14:textId="77777777" w:rsidR="007F09CB" w:rsidRPr="00224C1B" w:rsidRDefault="00DB28EC" w:rsidP="00224C1B">
            <w:pPr>
              <w:widowControl w:val="0"/>
              <w:spacing w:before="0" w:after="0"/>
              <w:jc w:val="left"/>
              <w:rPr>
                <w:b w:val="0"/>
                <w:bCs w:val="0"/>
                <w:lang w:val="lv-LV"/>
              </w:rPr>
            </w:pPr>
            <w:r w:rsidRPr="00224C1B">
              <w:rPr>
                <w:b w:val="0"/>
                <w:bCs w:val="0"/>
                <w:lang w:val="lv-LV"/>
              </w:rPr>
              <w:t>947</w:t>
            </w:r>
          </w:p>
        </w:tc>
      </w:tr>
    </w:tbl>
    <w:p w14:paraId="00000133" w14:textId="77777777" w:rsidR="007F09CB" w:rsidRPr="00224C1B" w:rsidRDefault="007F09CB">
      <w:pPr>
        <w:spacing w:after="0"/>
        <w:jc w:val="left"/>
        <w:rPr>
          <w:rFonts w:ascii="Arial" w:eastAsia="Arial" w:hAnsi="Arial" w:cs="Arial"/>
          <w:bCs w:val="0"/>
          <w:lang w:val="lv-LV"/>
        </w:rPr>
      </w:pPr>
    </w:p>
    <w:p w14:paraId="00000134" w14:textId="77777777" w:rsidR="007F09CB" w:rsidRPr="0053072A" w:rsidRDefault="00DB28EC" w:rsidP="00224C1B">
      <w:pPr>
        <w:pStyle w:val="Bottomcaption"/>
        <w:framePr w:wrap="around"/>
        <w:rPr>
          <w:lang w:val="lv-LV"/>
        </w:rPr>
      </w:pPr>
      <w:r w:rsidRPr="0053072A">
        <w:rPr>
          <w:lang w:val="lv-LV"/>
        </w:rPr>
        <w:t>Avots: pētījuma autoru aprēķini</w:t>
      </w:r>
    </w:p>
    <w:p w14:paraId="00000135" w14:textId="77777777" w:rsidR="007F09CB" w:rsidRPr="0053072A" w:rsidRDefault="00DB28EC">
      <w:pPr>
        <w:rPr>
          <w:lang w:val="lv-LV"/>
        </w:rPr>
      </w:pPr>
      <w:r w:rsidRPr="0053072A">
        <w:rPr>
          <w:lang w:val="lv-LV"/>
        </w:rPr>
        <w:t>Konvertējot PKN Orlen vairumtirdzniecības benzīna un dīzeļdegvielas cenu (ņemot vērā pieņemto un iepriekš aprakstīto sadalījumu nākotnē pa naftas produktu kategorijām) no PLN uz EUR un no m</w:t>
      </w:r>
      <w:r w:rsidRPr="0053072A">
        <w:rPr>
          <w:vertAlign w:val="superscript"/>
          <w:lang w:val="lv-LV"/>
        </w:rPr>
        <w:t>3</w:t>
      </w:r>
      <w:r w:rsidRPr="0053072A">
        <w:rPr>
          <w:lang w:val="lv-LV"/>
        </w:rPr>
        <w:t xml:space="preserve"> uz t, iegūta vidējā svērtā vairumtirdzniecības cena 947 EUR/t.</w:t>
      </w:r>
    </w:p>
    <w:p w14:paraId="00000136" w14:textId="77777777" w:rsidR="007F09CB" w:rsidRPr="0053072A" w:rsidRDefault="00DB28EC">
      <w:pPr>
        <w:rPr>
          <w:lang w:val="lv-LV"/>
        </w:rPr>
      </w:pPr>
      <w:r w:rsidRPr="0053072A">
        <w:rPr>
          <w:lang w:val="lv-LV"/>
        </w:rPr>
        <w:t>Aprēķinos tiek izmantotas arī prognozes par naftas cenu izmaiņām līdz 2029. gadam (skatīt Tabulu 3)</w:t>
      </w:r>
    </w:p>
    <w:p w14:paraId="00000137" w14:textId="77777777" w:rsidR="007F09CB" w:rsidRPr="0053072A" w:rsidRDefault="00DB28EC" w:rsidP="00224C1B">
      <w:pPr>
        <w:pStyle w:val="Caption"/>
        <w:framePr w:wrap="around"/>
        <w:rPr>
          <w:lang w:val="lv-LV"/>
        </w:rPr>
      </w:pPr>
      <w:r w:rsidRPr="0053072A">
        <w:rPr>
          <w:lang w:val="lv-LV"/>
        </w:rPr>
        <w:t>Tabula 3. Naftas cenu izmaiņu prognoze 2021.-2029. gadam</w:t>
      </w:r>
    </w:p>
    <w:tbl>
      <w:tblPr>
        <w:tblStyle w:val="afd"/>
        <w:tblW w:w="9445" w:type="dxa"/>
        <w:tblInd w:w="11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600" w:firstRow="0" w:lastRow="0" w:firstColumn="0" w:lastColumn="0" w:noHBand="1" w:noVBand="1"/>
      </w:tblPr>
      <w:tblGrid>
        <w:gridCol w:w="4722"/>
        <w:gridCol w:w="4723"/>
      </w:tblGrid>
      <w:tr w:rsidR="007F09CB" w:rsidRPr="0053072A" w14:paraId="29B2E0F5" w14:textId="77777777">
        <w:trPr>
          <w:trHeight w:val="113"/>
        </w:trPr>
        <w:tc>
          <w:tcPr>
            <w:tcW w:w="4722" w:type="dxa"/>
            <w:shd w:val="clear" w:color="auto" w:fill="134753"/>
            <w:tcMar>
              <w:top w:w="100" w:type="dxa"/>
              <w:left w:w="100" w:type="dxa"/>
              <w:bottom w:w="100" w:type="dxa"/>
              <w:right w:w="100" w:type="dxa"/>
            </w:tcMar>
          </w:tcPr>
          <w:p w14:paraId="00000138" w14:textId="77777777" w:rsidR="007F09CB" w:rsidRPr="0053072A" w:rsidRDefault="00DB28EC" w:rsidP="00224C1B">
            <w:pPr>
              <w:spacing w:before="0" w:after="0"/>
              <w:jc w:val="left"/>
              <w:rPr>
                <w:color w:val="FFFFFF"/>
                <w:lang w:val="lv-LV"/>
              </w:rPr>
            </w:pPr>
            <w:r w:rsidRPr="0053072A">
              <w:rPr>
                <w:color w:val="FFFFFF"/>
                <w:lang w:val="lv-LV"/>
              </w:rPr>
              <w:t>Gads</w:t>
            </w:r>
          </w:p>
        </w:tc>
        <w:tc>
          <w:tcPr>
            <w:tcW w:w="4723" w:type="dxa"/>
            <w:shd w:val="clear" w:color="auto" w:fill="134753"/>
            <w:tcMar>
              <w:top w:w="100" w:type="dxa"/>
              <w:left w:w="100" w:type="dxa"/>
              <w:bottom w:w="100" w:type="dxa"/>
              <w:right w:w="100" w:type="dxa"/>
            </w:tcMar>
          </w:tcPr>
          <w:p w14:paraId="00000139" w14:textId="77777777" w:rsidR="007F09CB" w:rsidRPr="0053072A" w:rsidRDefault="00DB28EC" w:rsidP="00224C1B">
            <w:pPr>
              <w:spacing w:before="0" w:after="0"/>
              <w:jc w:val="left"/>
              <w:rPr>
                <w:color w:val="FFFFFF"/>
                <w:lang w:val="lv-LV"/>
              </w:rPr>
            </w:pPr>
            <w:r w:rsidRPr="0053072A">
              <w:rPr>
                <w:color w:val="FFFFFF"/>
                <w:lang w:val="lv-LV"/>
              </w:rPr>
              <w:t>Cenas izmaiņas, %</w:t>
            </w:r>
          </w:p>
        </w:tc>
      </w:tr>
      <w:tr w:rsidR="007F09CB" w:rsidRPr="0053072A" w14:paraId="4E6CD1AC" w14:textId="77777777">
        <w:trPr>
          <w:trHeight w:val="59"/>
        </w:trPr>
        <w:tc>
          <w:tcPr>
            <w:tcW w:w="4722" w:type="dxa"/>
            <w:shd w:val="clear" w:color="auto" w:fill="F2F2F2"/>
            <w:tcMar>
              <w:top w:w="100" w:type="dxa"/>
              <w:left w:w="100" w:type="dxa"/>
              <w:bottom w:w="100" w:type="dxa"/>
              <w:right w:w="100" w:type="dxa"/>
            </w:tcMar>
          </w:tcPr>
          <w:p w14:paraId="0000013A"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2022</w:t>
            </w:r>
          </w:p>
        </w:tc>
        <w:tc>
          <w:tcPr>
            <w:tcW w:w="4723" w:type="dxa"/>
            <w:shd w:val="clear" w:color="auto" w:fill="F2F2F2"/>
            <w:tcMar>
              <w:top w:w="100" w:type="dxa"/>
              <w:left w:w="100" w:type="dxa"/>
              <w:bottom w:w="100" w:type="dxa"/>
              <w:right w:w="100" w:type="dxa"/>
            </w:tcMar>
          </w:tcPr>
          <w:p w14:paraId="0000013B"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1,4</w:t>
            </w:r>
          </w:p>
        </w:tc>
      </w:tr>
      <w:tr w:rsidR="007F09CB" w:rsidRPr="0053072A" w14:paraId="3FB495F1" w14:textId="77777777">
        <w:tc>
          <w:tcPr>
            <w:tcW w:w="4722" w:type="dxa"/>
            <w:shd w:val="clear" w:color="auto" w:fill="F2F2F2"/>
            <w:tcMar>
              <w:top w:w="100" w:type="dxa"/>
              <w:left w:w="100" w:type="dxa"/>
              <w:bottom w:w="100" w:type="dxa"/>
              <w:right w:w="100" w:type="dxa"/>
            </w:tcMar>
          </w:tcPr>
          <w:p w14:paraId="0000013C"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2023</w:t>
            </w:r>
          </w:p>
        </w:tc>
        <w:tc>
          <w:tcPr>
            <w:tcW w:w="4723" w:type="dxa"/>
            <w:shd w:val="clear" w:color="auto" w:fill="F2F2F2"/>
            <w:tcMar>
              <w:top w:w="100" w:type="dxa"/>
              <w:left w:w="100" w:type="dxa"/>
              <w:bottom w:w="100" w:type="dxa"/>
              <w:right w:w="100" w:type="dxa"/>
            </w:tcMar>
          </w:tcPr>
          <w:p w14:paraId="0000013D"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-3,7</w:t>
            </w:r>
          </w:p>
        </w:tc>
      </w:tr>
      <w:tr w:rsidR="007F09CB" w:rsidRPr="0053072A" w14:paraId="0DE90BF5" w14:textId="77777777">
        <w:tc>
          <w:tcPr>
            <w:tcW w:w="4722" w:type="dxa"/>
            <w:shd w:val="clear" w:color="auto" w:fill="F2F2F2"/>
            <w:tcMar>
              <w:top w:w="100" w:type="dxa"/>
              <w:left w:w="100" w:type="dxa"/>
              <w:bottom w:w="100" w:type="dxa"/>
              <w:right w:w="100" w:type="dxa"/>
            </w:tcMar>
          </w:tcPr>
          <w:p w14:paraId="0000013E"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2024</w:t>
            </w:r>
          </w:p>
        </w:tc>
        <w:tc>
          <w:tcPr>
            <w:tcW w:w="4723" w:type="dxa"/>
            <w:shd w:val="clear" w:color="auto" w:fill="F2F2F2"/>
            <w:tcMar>
              <w:top w:w="100" w:type="dxa"/>
              <w:left w:w="100" w:type="dxa"/>
              <w:bottom w:w="100" w:type="dxa"/>
              <w:right w:w="100" w:type="dxa"/>
            </w:tcMar>
          </w:tcPr>
          <w:p w14:paraId="0000013F"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-5,5</w:t>
            </w:r>
          </w:p>
        </w:tc>
      </w:tr>
      <w:tr w:rsidR="007F09CB" w:rsidRPr="0053072A" w14:paraId="407C5B78" w14:textId="77777777">
        <w:tc>
          <w:tcPr>
            <w:tcW w:w="4722" w:type="dxa"/>
            <w:shd w:val="clear" w:color="auto" w:fill="F2F2F2"/>
            <w:tcMar>
              <w:top w:w="100" w:type="dxa"/>
              <w:left w:w="100" w:type="dxa"/>
              <w:bottom w:w="100" w:type="dxa"/>
              <w:right w:w="100" w:type="dxa"/>
            </w:tcMar>
          </w:tcPr>
          <w:p w14:paraId="00000140"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2025</w:t>
            </w:r>
          </w:p>
        </w:tc>
        <w:tc>
          <w:tcPr>
            <w:tcW w:w="4723" w:type="dxa"/>
            <w:shd w:val="clear" w:color="auto" w:fill="F2F2F2"/>
            <w:tcMar>
              <w:top w:w="100" w:type="dxa"/>
              <w:left w:w="100" w:type="dxa"/>
              <w:bottom w:w="100" w:type="dxa"/>
              <w:right w:w="100" w:type="dxa"/>
            </w:tcMar>
          </w:tcPr>
          <w:p w14:paraId="00000141"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w:t>
            </w:r>
          </w:p>
        </w:tc>
      </w:tr>
      <w:tr w:rsidR="007F09CB" w:rsidRPr="0053072A" w14:paraId="7DCDDD89" w14:textId="77777777">
        <w:tc>
          <w:tcPr>
            <w:tcW w:w="4722" w:type="dxa"/>
            <w:shd w:val="clear" w:color="auto" w:fill="F2F2F2"/>
            <w:tcMar>
              <w:top w:w="100" w:type="dxa"/>
              <w:left w:w="100" w:type="dxa"/>
              <w:bottom w:w="100" w:type="dxa"/>
              <w:right w:w="100" w:type="dxa"/>
            </w:tcMar>
          </w:tcPr>
          <w:p w14:paraId="00000142"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2026</w:t>
            </w:r>
          </w:p>
        </w:tc>
        <w:tc>
          <w:tcPr>
            <w:tcW w:w="4723" w:type="dxa"/>
            <w:shd w:val="clear" w:color="auto" w:fill="F2F2F2"/>
            <w:tcMar>
              <w:top w:w="100" w:type="dxa"/>
              <w:left w:w="100" w:type="dxa"/>
              <w:bottom w:w="100" w:type="dxa"/>
              <w:right w:w="100" w:type="dxa"/>
            </w:tcMar>
          </w:tcPr>
          <w:p w14:paraId="00000143"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w:t>
            </w:r>
          </w:p>
        </w:tc>
      </w:tr>
      <w:tr w:rsidR="007F09CB" w:rsidRPr="0053072A" w14:paraId="5DB8D3E4" w14:textId="77777777">
        <w:tc>
          <w:tcPr>
            <w:tcW w:w="4722" w:type="dxa"/>
            <w:shd w:val="clear" w:color="auto" w:fill="F2F2F2"/>
            <w:tcMar>
              <w:top w:w="100" w:type="dxa"/>
              <w:left w:w="100" w:type="dxa"/>
              <w:bottom w:w="100" w:type="dxa"/>
              <w:right w:w="100" w:type="dxa"/>
            </w:tcMar>
          </w:tcPr>
          <w:p w14:paraId="00000144"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2027</w:t>
            </w:r>
          </w:p>
        </w:tc>
        <w:tc>
          <w:tcPr>
            <w:tcW w:w="4723" w:type="dxa"/>
            <w:shd w:val="clear" w:color="auto" w:fill="F2F2F2"/>
            <w:tcMar>
              <w:top w:w="100" w:type="dxa"/>
              <w:left w:w="100" w:type="dxa"/>
              <w:bottom w:w="100" w:type="dxa"/>
              <w:right w:w="100" w:type="dxa"/>
            </w:tcMar>
          </w:tcPr>
          <w:p w14:paraId="00000145"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w:t>
            </w:r>
          </w:p>
        </w:tc>
      </w:tr>
      <w:tr w:rsidR="007F09CB" w:rsidRPr="0053072A" w14:paraId="16A5CD3D" w14:textId="77777777">
        <w:tc>
          <w:tcPr>
            <w:tcW w:w="4722" w:type="dxa"/>
            <w:shd w:val="clear" w:color="auto" w:fill="F2F2F2"/>
            <w:tcMar>
              <w:top w:w="100" w:type="dxa"/>
              <w:left w:w="100" w:type="dxa"/>
              <w:bottom w:w="100" w:type="dxa"/>
              <w:right w:w="100" w:type="dxa"/>
            </w:tcMar>
          </w:tcPr>
          <w:p w14:paraId="00000146"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2028</w:t>
            </w:r>
          </w:p>
        </w:tc>
        <w:tc>
          <w:tcPr>
            <w:tcW w:w="4723" w:type="dxa"/>
            <w:shd w:val="clear" w:color="auto" w:fill="F2F2F2"/>
            <w:tcMar>
              <w:top w:w="100" w:type="dxa"/>
              <w:left w:w="100" w:type="dxa"/>
              <w:bottom w:w="100" w:type="dxa"/>
              <w:right w:w="100" w:type="dxa"/>
            </w:tcMar>
          </w:tcPr>
          <w:p w14:paraId="00000147"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w:t>
            </w:r>
          </w:p>
        </w:tc>
      </w:tr>
      <w:tr w:rsidR="007F09CB" w:rsidRPr="0053072A" w14:paraId="71BF56DA" w14:textId="77777777">
        <w:tc>
          <w:tcPr>
            <w:tcW w:w="4722" w:type="dxa"/>
            <w:shd w:val="clear" w:color="auto" w:fill="F2F2F2"/>
            <w:tcMar>
              <w:top w:w="100" w:type="dxa"/>
              <w:left w:w="100" w:type="dxa"/>
              <w:bottom w:w="100" w:type="dxa"/>
              <w:right w:w="100" w:type="dxa"/>
            </w:tcMar>
          </w:tcPr>
          <w:p w14:paraId="00000148"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2029</w:t>
            </w:r>
          </w:p>
        </w:tc>
        <w:tc>
          <w:tcPr>
            <w:tcW w:w="4723" w:type="dxa"/>
            <w:shd w:val="clear" w:color="auto" w:fill="F2F2F2"/>
            <w:tcMar>
              <w:top w:w="100" w:type="dxa"/>
              <w:left w:w="100" w:type="dxa"/>
              <w:bottom w:w="100" w:type="dxa"/>
              <w:right w:w="100" w:type="dxa"/>
            </w:tcMar>
          </w:tcPr>
          <w:p w14:paraId="00000149" w14:textId="77777777" w:rsidR="007F09CB" w:rsidRPr="00224C1B" w:rsidRDefault="00DB28EC" w:rsidP="00224C1B">
            <w:pPr>
              <w:widowControl w:val="0"/>
              <w:pBdr>
                <w:top w:val="nil"/>
                <w:left w:val="nil"/>
                <w:bottom w:val="nil"/>
                <w:right w:val="nil"/>
                <w:between w:val="nil"/>
              </w:pBdr>
              <w:spacing w:before="0" w:after="0"/>
              <w:jc w:val="left"/>
              <w:rPr>
                <w:b w:val="0"/>
                <w:bCs w:val="0"/>
                <w:lang w:val="lv-LV"/>
              </w:rPr>
            </w:pPr>
            <w:r w:rsidRPr="00224C1B">
              <w:rPr>
                <w:b w:val="0"/>
                <w:bCs w:val="0"/>
                <w:lang w:val="lv-LV"/>
              </w:rPr>
              <w:t>2,0</w:t>
            </w:r>
          </w:p>
        </w:tc>
      </w:tr>
    </w:tbl>
    <w:p w14:paraId="0000014A" w14:textId="77777777" w:rsidR="007F09CB" w:rsidRPr="0053072A" w:rsidRDefault="00DB28EC" w:rsidP="00224C1B">
      <w:pPr>
        <w:pStyle w:val="Bottomcaption"/>
        <w:framePr w:wrap="around"/>
        <w:rPr>
          <w:lang w:val="lv-LV"/>
        </w:rPr>
      </w:pPr>
      <w:r w:rsidRPr="0053072A">
        <w:rPr>
          <w:lang w:val="lv-LV"/>
        </w:rPr>
        <w:t>Avots: Delotte. Oil and gas price forecast, 2021. gads</w:t>
      </w:r>
    </w:p>
    <w:p w14:paraId="0000014C" w14:textId="77777777" w:rsidR="007F09CB" w:rsidRPr="0053072A" w:rsidRDefault="00DB28EC">
      <w:pPr>
        <w:rPr>
          <w:lang w:val="lv-LV"/>
        </w:rPr>
      </w:pPr>
      <w:r w:rsidRPr="0053072A">
        <w:rPr>
          <w:lang w:val="lv-LV"/>
        </w:rPr>
        <w:t>Ņemot vērā, ka drošības rezervju pakāpenisku iegādi valsts īpašumā tiek plānots uzsākt no 2024. gada, sākotnējā solī aprēķinātā vidējā svērtā vairumtirdzniecības cena pielāgota 2024. gada sagaidāmajam līmenim, izmantojot Tabulā 3 norādītās naftas cenu prognožu procentuālās izmaiņas, un pēc tam tiek veikta turpmāko gadu cenas līmeņa prognoze.</w:t>
      </w:r>
    </w:p>
    <w:p w14:paraId="0000014D" w14:textId="77777777" w:rsidR="007F09CB" w:rsidRPr="0053072A" w:rsidRDefault="00DB28EC" w:rsidP="00224C1B">
      <w:pPr>
        <w:pStyle w:val="Caption"/>
        <w:framePr w:wrap="around"/>
        <w:rPr>
          <w:rFonts w:ascii="Arial" w:eastAsia="Arial" w:hAnsi="Arial" w:cs="Arial"/>
          <w:lang w:val="lv-LV"/>
        </w:rPr>
      </w:pPr>
      <w:r w:rsidRPr="0053072A">
        <w:rPr>
          <w:lang w:val="lv-LV"/>
        </w:rPr>
        <w:lastRenderedPageBreak/>
        <w:t>8. attēls. Prognozētā vidējā svērtā vairumtirdzniecības cena, 2023.-2029. gads, EUR</w:t>
      </w:r>
    </w:p>
    <w:p w14:paraId="0000014E" w14:textId="77777777" w:rsidR="007F09CB" w:rsidRPr="0053072A" w:rsidRDefault="00DB28EC">
      <w:pPr>
        <w:spacing w:after="0"/>
        <w:jc w:val="left"/>
        <w:rPr>
          <w:lang w:val="lv-LV"/>
        </w:rPr>
      </w:pPr>
      <w:r w:rsidRPr="0053072A">
        <w:rPr>
          <w:lang w:val="lv-LV"/>
        </w:rPr>
        <w:t xml:space="preserve"> </w:t>
      </w:r>
      <w:r w:rsidRPr="0053072A">
        <w:rPr>
          <w:noProof/>
          <w:lang w:val="lv-LV"/>
        </w:rPr>
        <w:drawing>
          <wp:inline distT="0" distB="0" distL="0" distR="0" wp14:anchorId="156F0FFC" wp14:editId="60C4F51C">
            <wp:extent cx="5972382" cy="2937436"/>
            <wp:effectExtent l="0" t="0" r="0" b="0"/>
            <wp:docPr id="134"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0"/>
                    <a:srcRect/>
                    <a:stretch>
                      <a:fillRect/>
                    </a:stretch>
                  </pic:blipFill>
                  <pic:spPr>
                    <a:xfrm>
                      <a:off x="0" y="0"/>
                      <a:ext cx="5972382" cy="2937436"/>
                    </a:xfrm>
                    <a:prstGeom prst="rect">
                      <a:avLst/>
                    </a:prstGeom>
                    <a:ln/>
                  </pic:spPr>
                </pic:pic>
              </a:graphicData>
            </a:graphic>
          </wp:inline>
        </w:drawing>
      </w:r>
    </w:p>
    <w:p w14:paraId="0000014F" w14:textId="77777777" w:rsidR="007F09CB" w:rsidRPr="0053072A" w:rsidRDefault="00DB28EC" w:rsidP="00224C1B">
      <w:pPr>
        <w:pStyle w:val="Bottomcaption"/>
        <w:framePr w:wrap="around"/>
        <w:rPr>
          <w:lang w:val="lv-LV"/>
        </w:rPr>
      </w:pPr>
      <w:r w:rsidRPr="0053072A">
        <w:rPr>
          <w:lang w:val="lv-LV"/>
        </w:rPr>
        <w:t>Avots: pētījuma autoru aprēķini</w:t>
      </w:r>
    </w:p>
    <w:p w14:paraId="00000150" w14:textId="77777777" w:rsidR="007F09CB" w:rsidRPr="0053072A" w:rsidRDefault="00DB28EC">
      <w:pPr>
        <w:rPr>
          <w:highlight w:val="yellow"/>
          <w:lang w:val="lv-LV"/>
        </w:rPr>
      </w:pPr>
      <w:r w:rsidRPr="0053072A">
        <w:rPr>
          <w:lang w:val="lv-LV"/>
        </w:rPr>
        <w:t>Lai spētu noteikt, ar kādu varbūtību prognozētā nākotnes vidējā svērtā vairumtirdzniecības cena atradīsies noteiktā vērtību kopā, aprēķināta šīs cenas standartnovirze, kas ir 12,4%. Lai noteiktu cenas diapazonu, kurā nākotnes cena atradīsies ar 95% varbūtību, prognozētajai cenai tiek pievienotas 2 standartnovirzes (24,8%) (skatīt 9. attēlu).</w:t>
      </w:r>
    </w:p>
    <w:p w14:paraId="00000151" w14:textId="54C682FE" w:rsidR="007F09CB" w:rsidRDefault="00DB28EC" w:rsidP="00224C1B">
      <w:pPr>
        <w:pStyle w:val="Caption"/>
        <w:framePr w:wrap="around"/>
        <w:rPr>
          <w:lang w:val="lv-LV"/>
        </w:rPr>
      </w:pPr>
      <w:r w:rsidRPr="0053072A">
        <w:rPr>
          <w:lang w:val="lv-LV"/>
        </w:rPr>
        <w:t>9. attēls. Prognozētās vidējās svērtās vairumtirdzniecības cenas DIAPAZONS, 2023.-2029. gads, EUR</w:t>
      </w:r>
    </w:p>
    <w:p w14:paraId="5E9C3C50" w14:textId="0F0204E0" w:rsidR="00224C1B" w:rsidRPr="0053072A" w:rsidRDefault="00224C1B">
      <w:pPr>
        <w:keepNext/>
        <w:pBdr>
          <w:top w:val="nil"/>
          <w:left w:val="nil"/>
          <w:bottom w:val="nil"/>
          <w:right w:val="nil"/>
          <w:between w:val="nil"/>
        </w:pBdr>
        <w:spacing w:before="240"/>
        <w:jc w:val="left"/>
        <w:rPr>
          <w:rFonts w:ascii="Arial" w:eastAsia="Arial" w:hAnsi="Arial" w:cs="Arial"/>
          <w:b/>
          <w:smallCaps/>
          <w:color w:val="134753"/>
          <w:sz w:val="20"/>
          <w:szCs w:val="20"/>
          <w:lang w:val="lv-LV"/>
        </w:rPr>
      </w:pPr>
      <w:r>
        <w:rPr>
          <w:rFonts w:ascii="Arial" w:eastAsia="Arial" w:hAnsi="Arial" w:cs="Arial"/>
          <w:b/>
          <w:smallCaps/>
          <w:noProof/>
          <w:color w:val="134753"/>
          <w:sz w:val="20"/>
          <w:szCs w:val="20"/>
          <w:lang w:val="lv-LV"/>
        </w:rPr>
        <w:drawing>
          <wp:inline distT="0" distB="0" distL="0" distR="0" wp14:anchorId="019983D9" wp14:editId="2511D11E">
            <wp:extent cx="5925225" cy="3014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50309" cy="3027436"/>
                    </a:xfrm>
                    <a:prstGeom prst="rect">
                      <a:avLst/>
                    </a:prstGeom>
                    <a:noFill/>
                  </pic:spPr>
                </pic:pic>
              </a:graphicData>
            </a:graphic>
          </wp:inline>
        </w:drawing>
      </w:r>
    </w:p>
    <w:p w14:paraId="00000152" w14:textId="2CC3209A" w:rsidR="007F09CB" w:rsidRPr="0053072A" w:rsidRDefault="007F09CB" w:rsidP="00224C1B">
      <w:pPr>
        <w:pStyle w:val="Caption"/>
        <w:framePr w:wrap="around"/>
        <w:rPr>
          <w:rFonts w:ascii="Arial" w:eastAsia="Arial" w:hAnsi="Arial" w:cs="Arial"/>
          <w:lang w:val="lv-LV"/>
        </w:rPr>
      </w:pPr>
    </w:p>
    <w:p w14:paraId="00000153" w14:textId="77777777" w:rsidR="007F09CB" w:rsidRPr="0053072A" w:rsidRDefault="00DB28EC" w:rsidP="00224C1B">
      <w:pPr>
        <w:pStyle w:val="Bottomcaption"/>
        <w:framePr w:wrap="around"/>
        <w:rPr>
          <w:lang w:val="lv-LV"/>
        </w:rPr>
      </w:pPr>
      <w:r w:rsidRPr="0053072A">
        <w:rPr>
          <w:lang w:val="lv-LV"/>
        </w:rPr>
        <w:t>Avots: pētījuma autoru aprēķini</w:t>
      </w:r>
    </w:p>
    <w:p w14:paraId="00000154" w14:textId="77777777" w:rsidR="007F09CB" w:rsidRPr="0053072A" w:rsidRDefault="00DB28EC">
      <w:pPr>
        <w:rPr>
          <w:lang w:val="lv-LV"/>
        </w:rPr>
      </w:pPr>
      <w:r w:rsidRPr="0053072A">
        <w:rPr>
          <w:lang w:val="lv-LV"/>
        </w:rPr>
        <w:lastRenderedPageBreak/>
        <w:t>9. attēlā redzami cenas diapazoni, kuros vidējā svērtā vairumtirdzniecības cena ar 95% varbūtību var atrasties 2023.-2029. gadā. To, cik lielā mērā patiesā cena novirzīsies no centrālās vērtības, ietekmē vairāki faktori, kas tostarp minēti arī 1. nodaļā.</w:t>
      </w:r>
    </w:p>
    <w:p w14:paraId="00000155" w14:textId="77777777" w:rsidR="007F09CB" w:rsidRPr="0053072A" w:rsidRDefault="00DB28EC">
      <w:pPr>
        <w:pStyle w:val="Heading2"/>
        <w:numPr>
          <w:ilvl w:val="1"/>
          <w:numId w:val="10"/>
        </w:numPr>
        <w:ind w:left="0" w:firstLine="0"/>
        <w:rPr>
          <w:lang w:val="lv-LV"/>
        </w:rPr>
      </w:pPr>
      <w:bookmarkStart w:id="14" w:name="_Toc98774213"/>
      <w:r w:rsidRPr="0053072A">
        <w:rPr>
          <w:lang w:val="lv-LV"/>
        </w:rPr>
        <w:t>Drošības rezervju uzglabāšanas infrastruktūra</w:t>
      </w:r>
      <w:bookmarkEnd w:id="14"/>
    </w:p>
    <w:p w14:paraId="00000156" w14:textId="77777777" w:rsidR="007F09CB" w:rsidRPr="0053072A" w:rsidRDefault="00DB28EC">
      <w:pPr>
        <w:rPr>
          <w:highlight w:val="yellow"/>
          <w:lang w:val="lv-LV"/>
        </w:rPr>
      </w:pPr>
      <w:r w:rsidRPr="0053072A">
        <w:rPr>
          <w:lang w:val="lv-LV"/>
        </w:rPr>
        <w:t>Drošības rezervju uzglabāšanas pakalpojumus pašreizējā sistēmā nodrošina ar ikgadēju iepirkumu starpniecību, kuros nozares komersanti piedāvā šos pakalpojumus. Šāda veida sistēma uzglabāšanas pakalpojumu nodrošināšanai tiek plānota arī pēc aģentūras modeļa izveides.</w:t>
      </w:r>
    </w:p>
    <w:p w14:paraId="00000157" w14:textId="77777777" w:rsidR="007F09CB" w:rsidRPr="0053072A" w:rsidRDefault="00DB28EC">
      <w:pPr>
        <w:rPr>
          <w:lang w:val="lv-LV"/>
        </w:rPr>
      </w:pPr>
      <w:r w:rsidRPr="0053072A">
        <w:rPr>
          <w:lang w:val="lv-LV"/>
        </w:rPr>
        <w:t>Balstoties uz Deloitte pētījumā norādīto informāciju, atbilstoši Latvijas Degvielas tirgotāju asociācijas sniegtajai informācijai, Latvijā 2020. gada februārī naftas produktu uzglabāšanas infrastruktūra ir 2,29 milj. m</w:t>
      </w:r>
      <w:r w:rsidRPr="0053072A">
        <w:rPr>
          <w:vertAlign w:val="superscript"/>
          <w:lang w:val="lv-LV"/>
        </w:rPr>
        <w:t>3</w:t>
      </w:r>
      <w:r w:rsidRPr="0053072A">
        <w:rPr>
          <w:lang w:val="lv-LV"/>
        </w:rPr>
        <w:t>. Norādīto kopējo apjomu ir iespējams validēt, balstoties uz 2021. gada 21. janvāra MK noteikumiem Nr. 46 “Paaugstinātas bīstamības objektu saraksts”, kur tiek uzskaitīti paaugstinātas bīstamības objekti un bīstamo vielu apjoma robeža šajos objektos tonnās. A un B kategoriju objektos naftas produktu maksimālais daudzums uzglabājamais apjoms (konvertējot kopējo daudzumu tonnās ar konversijas faktoru 0,8212) ir 2,62 milj. m</w:t>
      </w:r>
      <w:r w:rsidRPr="0053072A">
        <w:rPr>
          <w:vertAlign w:val="superscript"/>
          <w:lang w:val="lv-LV"/>
        </w:rPr>
        <w:t>3</w:t>
      </w:r>
      <w:r w:rsidRPr="0053072A">
        <w:rPr>
          <w:lang w:val="lv-LV"/>
        </w:rPr>
        <w:t xml:space="preserve"> (2,33 milj. m</w:t>
      </w:r>
      <w:r w:rsidRPr="0053072A">
        <w:rPr>
          <w:vertAlign w:val="superscript"/>
          <w:lang w:val="lv-LV"/>
        </w:rPr>
        <w:t>3</w:t>
      </w:r>
      <w:r w:rsidRPr="0053072A">
        <w:rPr>
          <w:lang w:val="lv-LV"/>
        </w:rPr>
        <w:t xml:space="preserve"> A kategorijas objektiem un 0,29 milj. m</w:t>
      </w:r>
      <w:r w:rsidRPr="0053072A">
        <w:rPr>
          <w:vertAlign w:val="superscript"/>
          <w:lang w:val="lv-LV"/>
        </w:rPr>
        <w:t>3</w:t>
      </w:r>
      <w:r w:rsidRPr="0053072A">
        <w:rPr>
          <w:lang w:val="lv-LV"/>
        </w:rPr>
        <w:t xml:space="preserve"> B kategorijas objektiem). Izmantojamā metodoloģijā ir vērojamas atšķirības, taču, ņemot vērā nepieciešamo drošības rezervju apjoma prognozi, var secināt, ka infrastruktūras apjoms kopumā ir pietiekošs, kā arī valstij nav nepieciešams izbūvēt atsevišķu drošības rezervju infrastruktūru.</w:t>
      </w:r>
    </w:p>
    <w:p w14:paraId="00000158" w14:textId="77777777" w:rsidR="007F09CB" w:rsidRPr="0053072A" w:rsidRDefault="00DB28EC">
      <w:pPr>
        <w:rPr>
          <w:highlight w:val="yellow"/>
          <w:lang w:val="lv-LV"/>
        </w:rPr>
      </w:pPr>
      <w:r w:rsidRPr="0053072A">
        <w:rPr>
          <w:lang w:val="lv-LV"/>
        </w:rPr>
        <w:t>Pieņēmums, ka Latvijā kopumā ir pietiekama infrastruktūra, lai nodrošinātu drošības rezervju uzglabāšanu, tika apstiprināts arī veiktajās intervijās ar komersantiem. Jāņem vērā, ka, piemēram, 2022. gadā Latvijas teritorijā tiek uzglabāts 81% no drošības rezervēm. Saistībā ar šādu pakalpojumu sniegšanu, atsevišķos gadījumos tika uzsvērts, ka komersantiem, kas nodrošinās naftas produktu uzglabāšanas pakalpojumus, tā ir kā potenciāla alternatīva laikā, kad ir arvien lielāka neskaidrība saistībā par naftas produktu tranzītu uz Krieviju un Baltkrieviju un ar to saistīto īstermiņa uzglabāšanu. Saistībā ar drošības rezervju uzglabāšanu, atsevišķos gadījumos tika izcelts, ka pašreizējā situācijā tās tiek pārlieku koncentrētas noteiktās vietās un ka nākotnē būtu vēlams nodrošināt lielāku drošības rezervju izkliedi Latvijas teritorijā. Tāpat kā problēma tika minēta arī neskaidra rīcība iespējamās enerģētiskās krīzes gadījumā un drošības rezervju uzturēšanas pakalpojumu sniedzēju konkrēta atbildība un rīcība šādos gadījumos.</w:t>
      </w:r>
    </w:p>
    <w:p w14:paraId="00000159" w14:textId="77777777" w:rsidR="007F09CB" w:rsidRPr="0053072A" w:rsidRDefault="00DB28EC">
      <w:pPr>
        <w:rPr>
          <w:lang w:val="lv-LV"/>
        </w:rPr>
      </w:pPr>
      <w:r w:rsidRPr="0053072A">
        <w:rPr>
          <w:lang w:val="lv-LV"/>
        </w:rPr>
        <w:t>Drošības rezervju uzturēšanas izmaksu prognoze tiek balstīta uz sekojošiem faktoriem:</w:t>
      </w:r>
    </w:p>
    <w:p w14:paraId="0000015A" w14:textId="77777777" w:rsidR="007F09CB" w:rsidRPr="0053072A" w:rsidRDefault="00DB28EC">
      <w:pPr>
        <w:numPr>
          <w:ilvl w:val="0"/>
          <w:numId w:val="14"/>
        </w:numPr>
        <w:rPr>
          <w:lang w:val="lv-LV"/>
        </w:rPr>
      </w:pPr>
      <w:r w:rsidRPr="0053072A">
        <w:rPr>
          <w:lang w:val="lv-LV"/>
        </w:rPr>
        <w:t>Drošības rezervju apjoma un sastāva pieņēmumi un rezultātā iegūtā prognoze (sīkāk skatīta 3.1. nodaļā);</w:t>
      </w:r>
    </w:p>
    <w:p w14:paraId="0000015B" w14:textId="77777777" w:rsidR="007F09CB" w:rsidRPr="0053072A" w:rsidRDefault="00DB28EC">
      <w:pPr>
        <w:numPr>
          <w:ilvl w:val="0"/>
          <w:numId w:val="14"/>
        </w:numPr>
        <w:rPr>
          <w:lang w:val="lv-LV"/>
        </w:rPr>
      </w:pPr>
      <w:r w:rsidRPr="0053072A">
        <w:rPr>
          <w:lang w:val="lv-LV"/>
        </w:rPr>
        <w:t>Plānotais drošības rezervju apjoms, ko ir paredzēts glabāt Latvijas teritorijā – 3 gadu laikā tiek plānots palielināt drošības rezervju apjomu, kas glabājās Latvijas teritorijā (2023. gadā vismaz 75%, 2024. gadā vismaz 85% un sākot no 2025. gadā 100%);</w:t>
      </w:r>
    </w:p>
    <w:p w14:paraId="0000015C" w14:textId="77777777" w:rsidR="007F09CB" w:rsidRPr="0053072A" w:rsidRDefault="00DB28EC">
      <w:pPr>
        <w:numPr>
          <w:ilvl w:val="0"/>
          <w:numId w:val="14"/>
        </w:numPr>
        <w:rPr>
          <w:lang w:val="lv-LV"/>
        </w:rPr>
      </w:pPr>
      <w:r w:rsidRPr="0053072A">
        <w:rPr>
          <w:lang w:val="lv-LV"/>
        </w:rPr>
        <w:t>Izmaksu atšķirība starp ārvalstīs glabātām un Latvijā glabātām drošības rezervēm. Aprēķinos tiek izmantoti dati no drošības rezervju uzglabāšanas iepirkuma par šo pakalpojumu nodrošināšanu 2021. gadā. Šie dati apstiprina iepriekš izvirzīto secinājumu, ka drošības rezervju uzglabāšana Latvijas teritorijā ir dārgāka nekā ārvalstīs (šajā gadā cena par vienu uzglabāto tonnu bija attiecīgi 56,5 EUR pret 16,2 EUR);</w:t>
      </w:r>
    </w:p>
    <w:p w14:paraId="0000015D" w14:textId="77777777" w:rsidR="007F09CB" w:rsidRPr="0053072A" w:rsidRDefault="00DB28EC">
      <w:pPr>
        <w:numPr>
          <w:ilvl w:val="0"/>
          <w:numId w:val="14"/>
        </w:numPr>
        <w:rPr>
          <w:lang w:val="lv-LV"/>
        </w:rPr>
      </w:pPr>
      <w:r w:rsidRPr="0053072A">
        <w:rPr>
          <w:lang w:val="lv-LV"/>
        </w:rPr>
        <w:t>Izmaksu atšķirība, ja uzglabājamās drošības rezerves atrodas valsts īpašumā. Saistībā ar lēmumu pārejai uz aģentūras modeli tika uzsvērts, ka drošības rezervju atrašanās valsts īpašumā nodrošinātu zemākas uzglabāšanas cenas, jo komersantiem, kuri nodrošina uzglabāšanas pakalpojumu nodrošināšanu, vairs nebūtu jāatspoguļo visus finanšu riskus un kapitāla izmaksas galīgajā uzglabāšanas cenā</w:t>
      </w:r>
      <w:r w:rsidRPr="0053072A">
        <w:rPr>
          <w:vertAlign w:val="superscript"/>
          <w:lang w:val="lv-LV"/>
        </w:rPr>
        <w:footnoteReference w:id="20"/>
      </w:r>
      <w:r w:rsidRPr="0053072A">
        <w:rPr>
          <w:lang w:val="lv-LV"/>
        </w:rPr>
        <w:t xml:space="preserve"> (taču jāņem vērā, ka šos riskus tālāk ir jāpārvalda izveidotajai aģentūrai). Šis pieņēmums tika apstiprināts arī intervijās ar komersantiem, kas nodrošina uzglabāšanas pakalpojumus – pēc interviju veikšanas šis rādītājs tika pieņemts kā 36 EUR par </w:t>
      </w:r>
      <w:r w:rsidRPr="0053072A">
        <w:rPr>
          <w:lang w:val="lv-LV"/>
        </w:rPr>
        <w:lastRenderedPageBreak/>
        <w:t>uzglabāto tonnu gadā. Jāņem vērā, ka šis pieņēmums un uzturēšanas izmaksas var būt ļoti atšķirīgas starp atsevišķiem pakalpojuma sniedzējiem un šo cenu var ietekmēt vairāki faktori.</w:t>
      </w:r>
    </w:p>
    <w:p w14:paraId="0000015E" w14:textId="77777777" w:rsidR="007F09CB" w:rsidRPr="0053072A" w:rsidRDefault="00DB28EC">
      <w:pPr>
        <w:rPr>
          <w:highlight w:val="yellow"/>
          <w:lang w:val="lv-LV"/>
        </w:rPr>
      </w:pPr>
      <w:r w:rsidRPr="0053072A">
        <w:rPr>
          <w:lang w:val="lv-LV"/>
        </w:rPr>
        <w:t xml:space="preserve">Balstoties uz iepriekš izdalītajiem faktoriem, ir iespējams prognozēt drošības rezervju uzturēšanas izmaksas nākotnē, kas sīkāk tiek skatītas 4.4. nodaļā. </w:t>
      </w:r>
    </w:p>
    <w:p w14:paraId="0000015F" w14:textId="77777777" w:rsidR="007F09CB" w:rsidRPr="0053072A" w:rsidRDefault="00DB28EC">
      <w:pPr>
        <w:pStyle w:val="Heading2"/>
        <w:numPr>
          <w:ilvl w:val="1"/>
          <w:numId w:val="10"/>
        </w:numPr>
        <w:ind w:left="0" w:firstLine="0"/>
        <w:rPr>
          <w:lang w:val="lv-LV"/>
        </w:rPr>
      </w:pPr>
      <w:bookmarkStart w:id="15" w:name="_Toc98774214"/>
      <w:r w:rsidRPr="0053072A">
        <w:rPr>
          <w:lang w:val="lv-LV"/>
        </w:rPr>
        <w:t>Valsts nodeva un tās nākotnes prognoze</w:t>
      </w:r>
      <w:bookmarkEnd w:id="15"/>
    </w:p>
    <w:p w14:paraId="00000160" w14:textId="77777777" w:rsidR="007F09CB" w:rsidRPr="0053072A" w:rsidRDefault="00DB28EC">
      <w:pPr>
        <w:rPr>
          <w:lang w:val="lv-LV"/>
        </w:rPr>
      </w:pPr>
      <w:r w:rsidRPr="0053072A">
        <w:rPr>
          <w:lang w:val="lv-LV"/>
        </w:rPr>
        <w:t xml:space="preserve">Tiek paredzēts, ka pēc aģentūras modeļa ieviešanas no valsts nodevas tiks segtas gan drošības rezervju infrastruktūras uzturēšanas izmaksas, gan arī citas sistēmas izmaksas. Arī turpmāk valsts nodevas likmes maksāšanas kārtību un administrēšanu noteiks MK 2011. gada 14. jūnija noteikumi Nr.450 “Noteikumi par valsts naftas produktu rezervju apmēru, apmēru, kādā maksājama valsts nodeva par drošības rezervju uzturēšanu, kā arī tās aprēķināšanas, maksāšanas un administrēšanas kārtību”. </w:t>
      </w:r>
    </w:p>
    <w:p w14:paraId="00000161" w14:textId="77777777" w:rsidR="007F09CB" w:rsidRPr="0053072A" w:rsidRDefault="00DB28EC">
      <w:pPr>
        <w:rPr>
          <w:highlight w:val="yellow"/>
          <w:lang w:val="lv-LV"/>
        </w:rPr>
      </w:pPr>
      <w:r w:rsidRPr="0053072A">
        <w:rPr>
          <w:lang w:val="lv-LV"/>
        </w:rPr>
        <w:t>Ja nākotnē tiks mainīta valsts nodevas likme, tad attiecīgi ir jāveic grozījumi šo noteikumu punktā, kurā tiek noteikta attiecīgā likme (5. punkts). Ja pēc aģentūras modeļa ieviešanas rezultātā mainās iestāde, kas kontrolē valsts nodevas samaksu, aprēķina nokavējuma naudas apmēru par noteiktajos termiņos nesamaksātu valsts nodevu, kā arī pieņem lēmumu par aprēķinātās nokavējuma naudas samaksu, tad arī ir nepieciešams veikt attiecīgus grozījumus šajos noteikumos (10. un 11. punkts), kā arī Enerģētikas likumā (72.</w:t>
      </w:r>
      <w:r w:rsidRPr="0053072A">
        <w:rPr>
          <w:vertAlign w:val="superscript"/>
          <w:lang w:val="lv-LV"/>
        </w:rPr>
        <w:t>1</w:t>
      </w:r>
      <w:r w:rsidRPr="0053072A">
        <w:rPr>
          <w:lang w:val="lv-LV"/>
        </w:rPr>
        <w:t xml:space="preserve"> un 72.</w:t>
      </w:r>
      <w:r w:rsidRPr="0053072A">
        <w:rPr>
          <w:vertAlign w:val="superscript"/>
          <w:lang w:val="lv-LV"/>
        </w:rPr>
        <w:t>4</w:t>
      </w:r>
      <w:r w:rsidRPr="0053072A">
        <w:rPr>
          <w:lang w:val="lv-LV"/>
        </w:rPr>
        <w:t xml:space="preserve"> pants).</w:t>
      </w:r>
    </w:p>
    <w:p w14:paraId="00000162" w14:textId="77777777" w:rsidR="007F09CB" w:rsidRPr="0053072A" w:rsidRDefault="00DB28EC">
      <w:pPr>
        <w:rPr>
          <w:lang w:val="lv-LV"/>
        </w:rPr>
      </w:pPr>
      <w:r w:rsidRPr="0053072A">
        <w:rPr>
          <w:lang w:val="lv-LV"/>
        </w:rPr>
        <w:t>Valsts nodevas likmes apjomu, saistībā ar drošības rezervju infrastruktūras izmaksām, ietekmē komersantu piedāvātā cena par uzglabāšanas pakalpojumu nodrošināšanu iepirkuma ietvaros un drošības rezervju apjoms, kura izmaiņu pieņēmumi un nākotnes prognozes tiek apskatītas 3.1. nodaļā. Tāpat valsts nodevas likmes apjomu var ietekmēt arī citi izdevumi – aizņēmuma pamatsummas un procentu maksājumi, atalgojuma izmaksas, drošības rezervju rotācijas izmaksas un citas sistēmas izmaksas.</w:t>
      </w:r>
    </w:p>
    <w:p w14:paraId="00000163" w14:textId="77777777" w:rsidR="007F09CB" w:rsidRPr="0053072A" w:rsidRDefault="00DB28EC">
      <w:pPr>
        <w:rPr>
          <w:b/>
          <w:lang w:val="lv-LV"/>
        </w:rPr>
      </w:pPr>
      <w:r w:rsidRPr="0053072A">
        <w:rPr>
          <w:lang w:val="lv-LV"/>
        </w:rPr>
        <w:t>Aprēķinos tiek paredzēts, ka sākotnēji valsts nodevas likme paliek nemainīga, 2022. gadā noteiktās likmes ietvaros – 19,30 EUR par Latvijas Republikas teritorijā brīvā apgrozījumā izlaisto, realizēto un patērēto I, II un III kategorijas naftas produktu tonnu. Lai turpmākajos gados nosegtu sistēmas darbības izmaksas, tiek paredzēts valsts nodevas likmes pieaugums par 20% – kopš 2027. gada valsts nodevas likme tiek paredzēta 23,16 EUR (sīkāk skatīt 4.2. nodaļu). Jāmin, ka viens no iepriekš minētajiem aģentūras modeļa ieguvumiem ir zemākas iespējamās drošības rezervju uzturēšanas izmaksas, kas ilgākā termiņā ļautu samazināt arī valsts nodevas likmi, taču jāņem vērā, ka pie apskatītajiem finansēšanas nosacījumiem, iepriekš minētie aģentūras modeļa ieguvumi teorētiski būs iespējami tikai pēc aizdevuma par drošības rezervju iegādi termiņa beigām.</w:t>
      </w:r>
    </w:p>
    <w:p w14:paraId="00000164" w14:textId="77777777" w:rsidR="007F09CB" w:rsidRPr="0053072A" w:rsidRDefault="007F09CB">
      <w:pPr>
        <w:spacing w:after="0"/>
        <w:jc w:val="left"/>
        <w:rPr>
          <w:rFonts w:ascii="Arial" w:eastAsia="Arial" w:hAnsi="Arial" w:cs="Arial"/>
          <w:color w:val="000000"/>
          <w:lang w:val="lv-LV"/>
        </w:rPr>
      </w:pPr>
    </w:p>
    <w:p w14:paraId="00000165" w14:textId="77777777" w:rsidR="007F09CB" w:rsidRPr="0053072A" w:rsidRDefault="007F09CB">
      <w:pPr>
        <w:spacing w:after="0"/>
        <w:jc w:val="left"/>
        <w:rPr>
          <w:rFonts w:ascii="Times New Roman" w:eastAsia="Times New Roman" w:hAnsi="Times New Roman" w:cs="Times New Roman"/>
          <w:sz w:val="24"/>
          <w:szCs w:val="24"/>
          <w:lang w:val="lv-LV"/>
        </w:rPr>
      </w:pPr>
    </w:p>
    <w:p w14:paraId="00000166" w14:textId="77777777" w:rsidR="007F09CB" w:rsidRPr="0053072A" w:rsidRDefault="00DB28EC">
      <w:pPr>
        <w:spacing w:after="0"/>
        <w:jc w:val="left"/>
        <w:rPr>
          <w:lang w:val="lv-LV"/>
        </w:rPr>
      </w:pPr>
      <w:r w:rsidRPr="0053072A">
        <w:rPr>
          <w:lang w:val="lv-LV"/>
        </w:rPr>
        <w:br w:type="page"/>
      </w:r>
    </w:p>
    <w:p w14:paraId="00000167" w14:textId="77777777" w:rsidR="007F09CB" w:rsidRPr="0053072A" w:rsidRDefault="00DB28EC">
      <w:pPr>
        <w:pStyle w:val="Heading1"/>
        <w:numPr>
          <w:ilvl w:val="0"/>
          <w:numId w:val="10"/>
        </w:numPr>
        <w:ind w:left="0" w:firstLine="0"/>
        <w:rPr>
          <w:lang w:val="lv-LV"/>
        </w:rPr>
      </w:pPr>
      <w:bookmarkStart w:id="16" w:name="_Toc98774215"/>
      <w:r w:rsidRPr="0053072A">
        <w:rPr>
          <w:lang w:val="lv-LV"/>
        </w:rPr>
        <w:lastRenderedPageBreak/>
        <w:t>Finanšu aprēķini</w:t>
      </w:r>
      <w:bookmarkEnd w:id="16"/>
    </w:p>
    <w:p w14:paraId="00000168" w14:textId="77777777" w:rsidR="007F09CB" w:rsidRPr="0053072A" w:rsidRDefault="00DB28EC">
      <w:pPr>
        <w:rPr>
          <w:lang w:val="lv-LV"/>
        </w:rPr>
      </w:pPr>
      <w:r w:rsidRPr="0053072A">
        <w:rPr>
          <w:lang w:val="lv-LV"/>
        </w:rPr>
        <w:t>Pētījuma ietvaros veikta finanšu modeļa izveide 2023.-2029. gadam, lai izstrādātu optimālu scenāriju aģentūras ieviešanai un drošības rezervju iegādei. Ņemot vērā, ka nav iespējams precīzi prognozēt naftas cenu nākotnē, tad izstrādātais modelis balstās uz sekojošiem principiem:</w:t>
      </w:r>
    </w:p>
    <w:p w14:paraId="00000169" w14:textId="77777777" w:rsidR="007F09CB" w:rsidRPr="0053072A" w:rsidRDefault="00DB28EC">
      <w:pPr>
        <w:numPr>
          <w:ilvl w:val="0"/>
          <w:numId w:val="6"/>
        </w:numPr>
        <w:rPr>
          <w:lang w:val="lv-LV"/>
        </w:rPr>
      </w:pPr>
      <w:r w:rsidRPr="0053072A">
        <w:rPr>
          <w:lang w:val="lv-LV"/>
        </w:rPr>
        <w:t>Finanšu modelī ir iekļautas izmaksas, kuras ir iespējams prognozēt ar augstāku ticamības pakāpi;</w:t>
      </w:r>
    </w:p>
    <w:p w14:paraId="0000016A" w14:textId="77777777" w:rsidR="007F09CB" w:rsidRPr="0053072A" w:rsidRDefault="00DB28EC">
      <w:pPr>
        <w:numPr>
          <w:ilvl w:val="0"/>
          <w:numId w:val="6"/>
        </w:numPr>
        <w:rPr>
          <w:lang w:val="lv-LV"/>
        </w:rPr>
      </w:pPr>
      <w:r w:rsidRPr="0053072A">
        <w:rPr>
          <w:lang w:val="lv-LV"/>
        </w:rPr>
        <w:t>Identificētas izmaksas/ieņēmumi, kurus pilnvērtīgi prognozēt nav iespējams (rotācijas rezultātā gūtie ieņēmumi/zaudējumi);</w:t>
      </w:r>
    </w:p>
    <w:p w14:paraId="0000016B" w14:textId="77777777" w:rsidR="007F09CB" w:rsidRPr="0053072A" w:rsidRDefault="00DB28EC">
      <w:pPr>
        <w:numPr>
          <w:ilvl w:val="0"/>
          <w:numId w:val="6"/>
        </w:numPr>
        <w:rPr>
          <w:lang w:val="lv-LV"/>
        </w:rPr>
      </w:pPr>
      <w:r w:rsidRPr="0053072A">
        <w:rPr>
          <w:lang w:val="lv-LV"/>
        </w:rPr>
        <w:t>Ņemts vērā, ka aģentūrai nav paredzēts darboties ar peļņu;</w:t>
      </w:r>
    </w:p>
    <w:p w14:paraId="0000016C" w14:textId="77777777" w:rsidR="007F09CB" w:rsidRPr="0053072A" w:rsidRDefault="00DB28EC">
      <w:pPr>
        <w:numPr>
          <w:ilvl w:val="0"/>
          <w:numId w:val="6"/>
        </w:numPr>
        <w:rPr>
          <w:lang w:val="lv-LV"/>
        </w:rPr>
      </w:pPr>
      <w:r w:rsidRPr="0053072A">
        <w:rPr>
          <w:lang w:val="lv-LV"/>
        </w:rPr>
        <w:t>Paredzēts, ka drošības rezervju ietvaros esošajam benzīnam reizi gadā ir veicama rotācija, bet dīzeļdegvielai tā ir veicama reizi divos gados;</w:t>
      </w:r>
    </w:p>
    <w:p w14:paraId="0000016D" w14:textId="77777777" w:rsidR="007F09CB" w:rsidRPr="0053072A" w:rsidRDefault="00DB28EC">
      <w:pPr>
        <w:numPr>
          <w:ilvl w:val="0"/>
          <w:numId w:val="6"/>
        </w:numPr>
        <w:rPr>
          <w:lang w:val="lv-LV"/>
        </w:rPr>
      </w:pPr>
      <w:r w:rsidRPr="0053072A">
        <w:rPr>
          <w:lang w:val="lv-LV"/>
        </w:rPr>
        <w:t>Peļņas vai zaudējumu aprēķinā esošajā neto peļņas iedaļā, sākot ar 2026. gadu (gads, kurā potenciālie ieņēmumi no drošības rezervju rotācijas var sākt segt papildu aģentūras izmaksas) tiek pieņemts 1 000 000 EUR, kas ir aptuveni 3-4% no aģentūras kopējām izmaksām un raksturo prognozes iespējamo kļūdas procentu;</w:t>
      </w:r>
    </w:p>
    <w:p w14:paraId="0000016E" w14:textId="77777777" w:rsidR="007F09CB" w:rsidRPr="0053072A" w:rsidRDefault="00DB28EC">
      <w:pPr>
        <w:numPr>
          <w:ilvl w:val="0"/>
          <w:numId w:val="6"/>
        </w:numPr>
        <w:rPr>
          <w:lang w:val="lv-LV"/>
        </w:rPr>
      </w:pPr>
      <w:r w:rsidRPr="0053072A">
        <w:rPr>
          <w:lang w:val="lv-LV"/>
        </w:rPr>
        <w:t>Atbilstoši noteiktajai neto peļņai un zināmajām izmaksu un ieņēmumu pozīcijām, aprēķināts kādā apmērā drošības rezervju rotācijas operācijām ik gadu jāspēj ģenerēt ieņēmumus, lai neto peļņa paliktu iepriekš noteiktajā 1 000 000 EUR līmenī;</w:t>
      </w:r>
    </w:p>
    <w:p w14:paraId="0000016F" w14:textId="77777777" w:rsidR="007F09CB" w:rsidRPr="0053072A" w:rsidRDefault="00DB28EC">
      <w:pPr>
        <w:numPr>
          <w:ilvl w:val="0"/>
          <w:numId w:val="6"/>
        </w:numPr>
        <w:rPr>
          <w:lang w:val="lv-LV"/>
        </w:rPr>
      </w:pPr>
      <w:r w:rsidRPr="0053072A">
        <w:rPr>
          <w:lang w:val="lv-LV"/>
        </w:rPr>
        <w:t>Ja ir zināma nepieciešamā ieņēmumu vērtība, kā pārdošanas cenu nosakot vidējo prognozēto naftas produktu cenu, var noteikt, kādai jābūt procentuālajai starpībai starp pārdošanas un pirkšanas cenu, lai tiktu gūti iepriekš noteiktie ieņēmumu apjomi;</w:t>
      </w:r>
    </w:p>
    <w:p w14:paraId="00000170" w14:textId="77777777" w:rsidR="007F09CB" w:rsidRPr="0053072A" w:rsidRDefault="00DB28EC">
      <w:pPr>
        <w:numPr>
          <w:ilvl w:val="0"/>
          <w:numId w:val="6"/>
        </w:numPr>
        <w:rPr>
          <w:lang w:val="lv-LV"/>
        </w:rPr>
      </w:pPr>
      <w:r w:rsidRPr="0053072A">
        <w:rPr>
          <w:lang w:val="lv-LV"/>
        </w:rPr>
        <w:t>Ja ir zināma procentuālā cenas starpība starp pārdošanas un pirkšanas darbībām un vēsturiskās vidējās benzīna un dīzeļdegvielas cenas izmaiņas, tiek noteikts, ar kādu varbūtību ir iespējams sasniegt nepieciešamo procentuālo starpību starp pārdošanas un pirkšanas cenu;</w:t>
      </w:r>
    </w:p>
    <w:p w14:paraId="00000171" w14:textId="77777777" w:rsidR="007F09CB" w:rsidRPr="0053072A" w:rsidRDefault="00DB28EC">
      <w:pPr>
        <w:numPr>
          <w:ilvl w:val="0"/>
          <w:numId w:val="6"/>
        </w:numPr>
        <w:rPr>
          <w:lang w:val="lv-LV"/>
        </w:rPr>
      </w:pPr>
      <w:r w:rsidRPr="0053072A">
        <w:rPr>
          <w:lang w:val="lv-LV"/>
        </w:rPr>
        <w:t>Izveidotā modeļa ietvaros tiek novērtēti iespējamie riski;</w:t>
      </w:r>
    </w:p>
    <w:p w14:paraId="00000172" w14:textId="77777777" w:rsidR="007F09CB" w:rsidRPr="0053072A" w:rsidRDefault="00DB28EC">
      <w:pPr>
        <w:numPr>
          <w:ilvl w:val="0"/>
          <w:numId w:val="6"/>
        </w:numPr>
        <w:rPr>
          <w:lang w:val="lv-LV"/>
        </w:rPr>
      </w:pPr>
      <w:r w:rsidRPr="0053072A">
        <w:rPr>
          <w:lang w:val="lv-LV"/>
        </w:rPr>
        <w:t>Modeļa dati var tikt izmantoti kā ikgadēji atskaites punkti, lai pārliecinātos vai darbība tiek veikta atbilstoši prognozētajam, un laicīgi būtu iespējams veikt nepieciešamās izmaiņas, ja tādas būtu vajadzīgas;</w:t>
      </w:r>
    </w:p>
    <w:p w14:paraId="00000173" w14:textId="77777777" w:rsidR="007F09CB" w:rsidRPr="0053072A" w:rsidRDefault="00DB28EC">
      <w:pPr>
        <w:numPr>
          <w:ilvl w:val="0"/>
          <w:numId w:val="6"/>
        </w:numPr>
        <w:rPr>
          <w:lang w:val="lv-LV"/>
        </w:rPr>
      </w:pPr>
      <w:r w:rsidRPr="0053072A">
        <w:rPr>
          <w:lang w:val="lv-LV"/>
        </w:rPr>
        <w:t>Ņemot vērā, ka inflācija attiecināma uz visām finanšu aprēķina pozīcijām un tā vienādi ietekmē visas aprēķinos izmantotās pozīcijas, inflācijas ietekme šī modeļa ietvaros netiek ņemta vērā.</w:t>
      </w:r>
    </w:p>
    <w:p w14:paraId="00000174" w14:textId="77777777" w:rsidR="007F09CB" w:rsidRPr="0053072A" w:rsidRDefault="00DB28EC">
      <w:pPr>
        <w:rPr>
          <w:lang w:val="lv-LV"/>
        </w:rPr>
      </w:pPr>
      <w:r w:rsidRPr="0053072A">
        <w:rPr>
          <w:lang w:val="lv-LV"/>
        </w:rPr>
        <w:t>Finanšu modelī iekļauts:</w:t>
      </w:r>
    </w:p>
    <w:p w14:paraId="00000175" w14:textId="77777777" w:rsidR="007F09CB" w:rsidRPr="0053072A" w:rsidRDefault="00DB28EC">
      <w:pPr>
        <w:numPr>
          <w:ilvl w:val="0"/>
          <w:numId w:val="7"/>
        </w:numPr>
        <w:rPr>
          <w:lang w:val="lv-LV"/>
        </w:rPr>
      </w:pPr>
      <w:r w:rsidRPr="0053072A">
        <w:rPr>
          <w:lang w:val="lv-LV"/>
        </w:rPr>
        <w:t>Aģentūras administratīvo (atalgojuma) izmaksu aprēķins;</w:t>
      </w:r>
    </w:p>
    <w:p w14:paraId="00000176" w14:textId="77777777" w:rsidR="007F09CB" w:rsidRPr="0053072A" w:rsidRDefault="00DB28EC">
      <w:pPr>
        <w:numPr>
          <w:ilvl w:val="0"/>
          <w:numId w:val="7"/>
        </w:numPr>
        <w:rPr>
          <w:lang w:val="lv-LV"/>
        </w:rPr>
      </w:pPr>
      <w:r w:rsidRPr="0053072A">
        <w:rPr>
          <w:lang w:val="lv-LV"/>
        </w:rPr>
        <w:t>Nepieciešamo drošības rezervju prognoze 2023.-2029. gadam;</w:t>
      </w:r>
    </w:p>
    <w:p w14:paraId="00000177" w14:textId="77777777" w:rsidR="007F09CB" w:rsidRPr="0053072A" w:rsidRDefault="00DB28EC">
      <w:pPr>
        <w:numPr>
          <w:ilvl w:val="0"/>
          <w:numId w:val="7"/>
        </w:numPr>
        <w:rPr>
          <w:lang w:val="lv-LV"/>
        </w:rPr>
      </w:pPr>
      <w:r w:rsidRPr="0053072A">
        <w:rPr>
          <w:lang w:val="lv-LV"/>
        </w:rPr>
        <w:t>Naftas produktu vidējās svērtās cenas prognoze 2023.-2029. gadam;</w:t>
      </w:r>
    </w:p>
    <w:p w14:paraId="00000178" w14:textId="77777777" w:rsidR="007F09CB" w:rsidRPr="0053072A" w:rsidRDefault="00DB28EC">
      <w:pPr>
        <w:numPr>
          <w:ilvl w:val="0"/>
          <w:numId w:val="7"/>
        </w:numPr>
        <w:rPr>
          <w:lang w:val="lv-LV"/>
        </w:rPr>
      </w:pPr>
      <w:r w:rsidRPr="0053072A">
        <w:rPr>
          <w:lang w:val="lv-LV"/>
        </w:rPr>
        <w:t>Drošības rezervju uzturēšanas infrastruktūras izmaksu prognoze 2023.-2029. gadam;</w:t>
      </w:r>
    </w:p>
    <w:p w14:paraId="00000179" w14:textId="77777777" w:rsidR="007F09CB" w:rsidRPr="0053072A" w:rsidRDefault="00DB28EC">
      <w:pPr>
        <w:numPr>
          <w:ilvl w:val="0"/>
          <w:numId w:val="7"/>
        </w:numPr>
        <w:rPr>
          <w:lang w:val="lv-LV"/>
        </w:rPr>
      </w:pPr>
      <w:r w:rsidRPr="0053072A">
        <w:rPr>
          <w:lang w:val="lv-LV"/>
        </w:rPr>
        <w:t>Ieņēmumu no valsts nodevas un tās likmes prognoze 2023.-2029. gadam;</w:t>
      </w:r>
    </w:p>
    <w:p w14:paraId="0000017A" w14:textId="77777777" w:rsidR="007F09CB" w:rsidRPr="0053072A" w:rsidRDefault="00DB28EC">
      <w:pPr>
        <w:numPr>
          <w:ilvl w:val="0"/>
          <w:numId w:val="7"/>
        </w:numPr>
        <w:rPr>
          <w:lang w:val="lv-LV"/>
        </w:rPr>
      </w:pPr>
      <w:r w:rsidRPr="0053072A">
        <w:rPr>
          <w:lang w:val="lv-LV"/>
        </w:rPr>
        <w:t>Drošības rezervju rotācijas modelis un tā ģenerēto potenciālo ieņēmumu apjoma varbūtības izvērtējums;</w:t>
      </w:r>
    </w:p>
    <w:p w14:paraId="0000017B" w14:textId="77777777" w:rsidR="007F09CB" w:rsidRPr="0053072A" w:rsidRDefault="00DB28EC">
      <w:pPr>
        <w:numPr>
          <w:ilvl w:val="0"/>
          <w:numId w:val="7"/>
        </w:numPr>
        <w:rPr>
          <w:lang w:val="lv-LV"/>
        </w:rPr>
      </w:pPr>
      <w:r w:rsidRPr="0053072A">
        <w:rPr>
          <w:lang w:val="lv-LV"/>
        </w:rPr>
        <w:t>Finanšu avotu izvērtējums.</w:t>
      </w:r>
    </w:p>
    <w:p w14:paraId="0000017C" w14:textId="77777777" w:rsidR="007F09CB" w:rsidRPr="0053072A" w:rsidRDefault="00DB28EC">
      <w:pPr>
        <w:pStyle w:val="Heading2"/>
        <w:numPr>
          <w:ilvl w:val="1"/>
          <w:numId w:val="10"/>
        </w:numPr>
        <w:ind w:left="0" w:firstLine="0"/>
        <w:rPr>
          <w:lang w:val="lv-LV"/>
        </w:rPr>
      </w:pPr>
      <w:bookmarkStart w:id="17" w:name="_Toc98774216"/>
      <w:r w:rsidRPr="0053072A">
        <w:rPr>
          <w:lang w:val="lv-LV"/>
        </w:rPr>
        <w:lastRenderedPageBreak/>
        <w:t>Aģentūras ieviešanas un uzturēšanas izmaksu aprēķins</w:t>
      </w:r>
      <w:bookmarkEnd w:id="17"/>
    </w:p>
    <w:p w14:paraId="0000017D" w14:textId="77777777" w:rsidR="007F09CB" w:rsidRPr="0053072A" w:rsidRDefault="00DB28EC">
      <w:pPr>
        <w:rPr>
          <w:lang w:val="lv-LV"/>
        </w:rPr>
      </w:pPr>
      <w:r w:rsidRPr="0053072A">
        <w:rPr>
          <w:lang w:val="lv-LV"/>
        </w:rPr>
        <w:t>Aģentūras atalgojuma izmaksas aprēķinātas atbilstoši datiem no 2.1. nodaļā esošās Tabulas 1. Optimālā plānotās aģentūras personāla struktūra datiem. Tabulā 4 norādītas aģentūras atalgojuma izmaksas un amatu sadalījums 2023. gadā.</w:t>
      </w:r>
    </w:p>
    <w:p w14:paraId="0000017E" w14:textId="77777777" w:rsidR="007F09CB" w:rsidRPr="0053072A" w:rsidRDefault="00DB28EC" w:rsidP="00224C1B">
      <w:pPr>
        <w:pStyle w:val="Caption"/>
        <w:framePr w:wrap="around"/>
        <w:rPr>
          <w:lang w:val="lv-LV"/>
        </w:rPr>
      </w:pPr>
      <w:r w:rsidRPr="0053072A">
        <w:rPr>
          <w:lang w:val="lv-LV"/>
        </w:rPr>
        <w:t>Tabula 4. Amatu sadalījums un prognozētās atalgojuma IZMAKSAS aģentūras ietvaros, 2023. gadā</w:t>
      </w:r>
    </w:p>
    <w:tbl>
      <w:tblPr>
        <w:tblStyle w:val="afe"/>
        <w:tblW w:w="9435" w:type="dxa"/>
        <w:tblInd w:w="113" w:type="dxa"/>
        <w:tblBorders>
          <w:top w:val="nil"/>
          <w:left w:val="nil"/>
          <w:bottom w:val="nil"/>
          <w:right w:val="nil"/>
          <w:insideH w:val="nil"/>
          <w:insideV w:val="nil"/>
        </w:tblBorders>
        <w:tblLayout w:type="fixed"/>
        <w:tblLook w:val="0600" w:firstRow="0" w:lastRow="0" w:firstColumn="0" w:lastColumn="0" w:noHBand="1" w:noVBand="1"/>
      </w:tblPr>
      <w:tblGrid>
        <w:gridCol w:w="2265"/>
        <w:gridCol w:w="600"/>
        <w:gridCol w:w="1320"/>
        <w:gridCol w:w="1650"/>
        <w:gridCol w:w="2340"/>
        <w:gridCol w:w="1260"/>
      </w:tblGrid>
      <w:tr w:rsidR="007F09CB" w:rsidRPr="0053072A" w14:paraId="7D0488DA" w14:textId="77777777">
        <w:trPr>
          <w:trHeight w:val="437"/>
        </w:trPr>
        <w:tc>
          <w:tcPr>
            <w:tcW w:w="2265"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7F" w14:textId="77777777" w:rsidR="007F09CB" w:rsidRPr="0053072A" w:rsidRDefault="00DB28EC" w:rsidP="00224C1B">
            <w:pPr>
              <w:spacing w:before="0" w:after="0"/>
              <w:jc w:val="left"/>
              <w:rPr>
                <w:color w:val="FFFFFF"/>
                <w:lang w:val="lv-LV"/>
              </w:rPr>
            </w:pPr>
            <w:r w:rsidRPr="0053072A">
              <w:rPr>
                <w:color w:val="FFFFFF"/>
                <w:lang w:val="lv-LV"/>
              </w:rPr>
              <w:t>Pozīcija</w:t>
            </w:r>
          </w:p>
        </w:tc>
        <w:tc>
          <w:tcPr>
            <w:tcW w:w="600"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80" w14:textId="77777777" w:rsidR="007F09CB" w:rsidRPr="0053072A" w:rsidRDefault="00DB28EC" w:rsidP="00224C1B">
            <w:pPr>
              <w:spacing w:before="0" w:after="0"/>
              <w:jc w:val="left"/>
              <w:rPr>
                <w:color w:val="FFFFFF"/>
                <w:lang w:val="lv-LV"/>
              </w:rPr>
            </w:pPr>
            <w:r w:rsidRPr="0053072A">
              <w:rPr>
                <w:color w:val="FFFFFF"/>
                <w:lang w:val="lv-LV"/>
              </w:rPr>
              <w:t>Nr.</w:t>
            </w:r>
          </w:p>
        </w:tc>
        <w:tc>
          <w:tcPr>
            <w:tcW w:w="1320"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81" w14:textId="77777777" w:rsidR="007F09CB" w:rsidRPr="0053072A" w:rsidRDefault="00DB28EC" w:rsidP="00224C1B">
            <w:pPr>
              <w:spacing w:before="0" w:after="0"/>
              <w:jc w:val="left"/>
              <w:rPr>
                <w:color w:val="FFFFFF"/>
                <w:lang w:val="lv-LV"/>
              </w:rPr>
            </w:pPr>
            <w:r w:rsidRPr="0053072A">
              <w:rPr>
                <w:color w:val="FFFFFF"/>
                <w:lang w:val="lv-LV"/>
              </w:rPr>
              <w:t>Kategorija</w:t>
            </w:r>
          </w:p>
        </w:tc>
        <w:tc>
          <w:tcPr>
            <w:tcW w:w="1650"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82" w14:textId="77777777" w:rsidR="007F09CB" w:rsidRPr="0053072A" w:rsidRDefault="00DB28EC" w:rsidP="00224C1B">
            <w:pPr>
              <w:spacing w:before="0" w:after="0"/>
              <w:jc w:val="left"/>
              <w:rPr>
                <w:color w:val="FFFFFF"/>
                <w:lang w:val="lv-LV"/>
              </w:rPr>
            </w:pPr>
            <w:r w:rsidRPr="0053072A">
              <w:rPr>
                <w:color w:val="FFFFFF"/>
                <w:lang w:val="lv-LV"/>
              </w:rPr>
              <w:t>Alga, iekļaujot nodokļus, EUR</w:t>
            </w:r>
          </w:p>
        </w:tc>
        <w:tc>
          <w:tcPr>
            <w:tcW w:w="2340"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83" w14:textId="77777777" w:rsidR="007F09CB" w:rsidRPr="0053072A" w:rsidRDefault="00DB28EC" w:rsidP="00224C1B">
            <w:pPr>
              <w:spacing w:before="0" w:after="0"/>
              <w:jc w:val="left"/>
              <w:rPr>
                <w:color w:val="FFFFFF"/>
                <w:lang w:val="lv-LV"/>
              </w:rPr>
            </w:pPr>
            <w:r w:rsidRPr="0053072A">
              <w:rPr>
                <w:color w:val="FFFFFF"/>
                <w:lang w:val="lv-LV"/>
              </w:rPr>
              <w:t xml:space="preserve">Paredzamās piemaksas </w:t>
            </w:r>
            <w:r w:rsidRPr="0053072A">
              <w:rPr>
                <w:i/>
                <w:color w:val="FFFFFF"/>
                <w:lang w:val="lv-LV"/>
              </w:rPr>
              <w:t>(65% no mēnešalgas)</w:t>
            </w:r>
            <w:r w:rsidRPr="0053072A">
              <w:rPr>
                <w:color w:val="FFFFFF"/>
                <w:lang w:val="lv-LV"/>
              </w:rPr>
              <w:t>, EUR</w:t>
            </w:r>
          </w:p>
        </w:tc>
        <w:tc>
          <w:tcPr>
            <w:tcW w:w="1260" w:type="dxa"/>
            <w:tcBorders>
              <w:top w:val="single" w:sz="12" w:space="0" w:color="FFFFFF"/>
              <w:left w:val="single" w:sz="12" w:space="0" w:color="FFFFFF"/>
              <w:bottom w:val="single" w:sz="12" w:space="0" w:color="FFFFFF"/>
              <w:right w:val="single" w:sz="12" w:space="0" w:color="FFFFFF"/>
            </w:tcBorders>
            <w:shd w:val="clear" w:color="auto" w:fill="134753"/>
            <w:tcMar>
              <w:top w:w="100" w:type="dxa"/>
              <w:left w:w="100" w:type="dxa"/>
              <w:bottom w:w="100" w:type="dxa"/>
              <w:right w:w="100" w:type="dxa"/>
            </w:tcMar>
            <w:vAlign w:val="center"/>
          </w:tcPr>
          <w:p w14:paraId="00000184" w14:textId="77777777" w:rsidR="007F09CB" w:rsidRPr="0053072A" w:rsidRDefault="00DB28EC" w:rsidP="00224C1B">
            <w:pPr>
              <w:spacing w:before="0" w:after="0"/>
              <w:jc w:val="left"/>
              <w:rPr>
                <w:color w:val="FFFFFF"/>
                <w:lang w:val="lv-LV"/>
              </w:rPr>
            </w:pPr>
            <w:r w:rsidRPr="0053072A">
              <w:rPr>
                <w:color w:val="FFFFFF"/>
                <w:lang w:val="lv-LV"/>
              </w:rPr>
              <w:t>Kopā gadā, EUR</w:t>
            </w:r>
          </w:p>
        </w:tc>
      </w:tr>
      <w:tr w:rsidR="007F09CB" w:rsidRPr="0053072A" w14:paraId="3203077C" w14:textId="77777777">
        <w:trPr>
          <w:trHeight w:val="32"/>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5" w14:textId="77777777" w:rsidR="007F09CB" w:rsidRPr="00224C1B" w:rsidRDefault="00DB28EC" w:rsidP="00224C1B">
            <w:pPr>
              <w:spacing w:before="0" w:after="0"/>
              <w:jc w:val="left"/>
              <w:rPr>
                <w:b w:val="0"/>
                <w:bCs w:val="0"/>
                <w:lang w:val="lv-LV"/>
              </w:rPr>
            </w:pPr>
            <w:r w:rsidRPr="00224C1B">
              <w:rPr>
                <w:b w:val="0"/>
                <w:bCs w:val="0"/>
                <w:lang w:val="lv-LV"/>
              </w:rPr>
              <w:t>Iestādes vadītājs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6" w14:textId="77777777" w:rsidR="007F09CB" w:rsidRPr="00224C1B" w:rsidRDefault="00DB28EC" w:rsidP="00224C1B">
            <w:pPr>
              <w:spacing w:before="0" w:after="0"/>
              <w:jc w:val="center"/>
              <w:rPr>
                <w:b w:val="0"/>
                <w:bCs w:val="0"/>
                <w:lang w:val="lv-LV"/>
              </w:rPr>
            </w:pPr>
            <w:r w:rsidRPr="00224C1B">
              <w:rPr>
                <w:b w:val="0"/>
                <w:bCs w:val="0"/>
                <w:lang w:val="lv-LV"/>
              </w:rPr>
              <w:t>1</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7"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8" w14:textId="77777777" w:rsidR="007F09CB" w:rsidRPr="00224C1B" w:rsidRDefault="00DB28EC" w:rsidP="00224C1B">
            <w:pPr>
              <w:spacing w:before="0" w:after="0"/>
              <w:jc w:val="center"/>
              <w:rPr>
                <w:b w:val="0"/>
                <w:bCs w:val="0"/>
                <w:lang w:val="lv-LV"/>
              </w:rPr>
            </w:pPr>
            <w:r w:rsidRPr="00224C1B">
              <w:rPr>
                <w:b w:val="0"/>
                <w:bCs w:val="0"/>
                <w:lang w:val="lv-LV"/>
              </w:rPr>
              <w:t>3 950</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9" w14:textId="77777777" w:rsidR="007F09CB" w:rsidRPr="00224C1B" w:rsidRDefault="00DB28EC" w:rsidP="00224C1B">
            <w:pPr>
              <w:spacing w:before="0" w:after="0"/>
              <w:jc w:val="center"/>
              <w:rPr>
                <w:b w:val="0"/>
                <w:bCs w:val="0"/>
                <w:lang w:val="lv-LV"/>
              </w:rPr>
            </w:pPr>
            <w:r w:rsidRPr="00224C1B">
              <w:rPr>
                <w:b w:val="0"/>
                <w:bCs w:val="0"/>
                <w:lang w:val="lv-LV"/>
              </w:rPr>
              <w:t>2 568</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A" w14:textId="77777777" w:rsidR="007F09CB" w:rsidRPr="00224C1B" w:rsidRDefault="00DB28EC" w:rsidP="00224C1B">
            <w:pPr>
              <w:spacing w:before="0" w:after="0"/>
              <w:jc w:val="center"/>
              <w:rPr>
                <w:b w:val="0"/>
                <w:bCs w:val="0"/>
                <w:lang w:val="lv-LV"/>
              </w:rPr>
            </w:pPr>
            <w:r w:rsidRPr="00224C1B">
              <w:rPr>
                <w:b w:val="0"/>
                <w:bCs w:val="0"/>
                <w:lang w:val="lv-LV"/>
              </w:rPr>
              <w:t>49 968</w:t>
            </w:r>
          </w:p>
        </w:tc>
      </w:tr>
      <w:tr w:rsidR="007F09CB" w:rsidRPr="0053072A" w14:paraId="3942F64A" w14:textId="77777777">
        <w:trPr>
          <w:trHeight w:val="23"/>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B" w14:textId="77777777" w:rsidR="007F09CB" w:rsidRPr="00224C1B" w:rsidRDefault="00DB28EC" w:rsidP="00224C1B">
            <w:pPr>
              <w:spacing w:before="0" w:after="0"/>
              <w:jc w:val="left"/>
              <w:rPr>
                <w:b w:val="0"/>
                <w:bCs w:val="0"/>
                <w:lang w:val="lv-LV"/>
              </w:rPr>
            </w:pPr>
            <w:r w:rsidRPr="00224C1B">
              <w:rPr>
                <w:b w:val="0"/>
                <w:bCs w:val="0"/>
                <w:lang w:val="lv-LV"/>
              </w:rPr>
              <w:t>Inspektors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C" w14:textId="77777777" w:rsidR="007F09CB" w:rsidRPr="00224C1B" w:rsidRDefault="00DB28EC" w:rsidP="00224C1B">
            <w:pPr>
              <w:spacing w:before="0" w:after="0"/>
              <w:jc w:val="center"/>
              <w:rPr>
                <w:b w:val="0"/>
                <w:bCs w:val="0"/>
                <w:lang w:val="lv-LV"/>
              </w:rPr>
            </w:pPr>
            <w:r w:rsidRPr="00224C1B">
              <w:rPr>
                <w:b w:val="0"/>
                <w:bCs w:val="0"/>
                <w:lang w:val="lv-LV"/>
              </w:rPr>
              <w:t>2</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D"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E" w14:textId="77777777" w:rsidR="007F09CB" w:rsidRPr="00224C1B" w:rsidRDefault="00DB28EC" w:rsidP="00224C1B">
            <w:pPr>
              <w:spacing w:before="0" w:after="0"/>
              <w:jc w:val="center"/>
              <w:rPr>
                <w:b w:val="0"/>
                <w:bCs w:val="0"/>
                <w:lang w:val="lv-LV"/>
              </w:rPr>
            </w:pPr>
            <w:r w:rsidRPr="00224C1B">
              <w:rPr>
                <w:b w:val="0"/>
                <w:bCs w:val="0"/>
                <w:lang w:val="lv-LV"/>
              </w:rPr>
              <w:t>1 600</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8F" w14:textId="77777777" w:rsidR="007F09CB" w:rsidRPr="00224C1B" w:rsidRDefault="00DB28EC" w:rsidP="00224C1B">
            <w:pPr>
              <w:spacing w:before="0" w:after="0"/>
              <w:jc w:val="center"/>
              <w:rPr>
                <w:b w:val="0"/>
                <w:bCs w:val="0"/>
                <w:lang w:val="lv-LV"/>
              </w:rPr>
            </w:pPr>
            <w:r w:rsidRPr="00224C1B">
              <w:rPr>
                <w:b w:val="0"/>
                <w:bCs w:val="0"/>
                <w:lang w:val="lv-LV"/>
              </w:rPr>
              <w:t>1 040</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0" w14:textId="77777777" w:rsidR="007F09CB" w:rsidRPr="00224C1B" w:rsidRDefault="00DB28EC" w:rsidP="00224C1B">
            <w:pPr>
              <w:spacing w:before="0" w:after="0"/>
              <w:jc w:val="center"/>
              <w:rPr>
                <w:b w:val="0"/>
                <w:bCs w:val="0"/>
                <w:lang w:val="lv-LV"/>
              </w:rPr>
            </w:pPr>
            <w:r w:rsidRPr="00224C1B">
              <w:rPr>
                <w:b w:val="0"/>
                <w:bCs w:val="0"/>
                <w:lang w:val="lv-LV"/>
              </w:rPr>
              <w:t>20 240</w:t>
            </w:r>
          </w:p>
        </w:tc>
      </w:tr>
      <w:tr w:rsidR="007F09CB" w:rsidRPr="0053072A" w14:paraId="58EF5158" w14:textId="77777777">
        <w:trPr>
          <w:trHeight w:val="122"/>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1" w14:textId="77777777" w:rsidR="007F09CB" w:rsidRPr="00224C1B" w:rsidRDefault="00DB28EC" w:rsidP="00224C1B">
            <w:pPr>
              <w:spacing w:before="0" w:after="0"/>
              <w:jc w:val="left"/>
              <w:rPr>
                <w:b w:val="0"/>
                <w:bCs w:val="0"/>
                <w:lang w:val="lv-LV"/>
              </w:rPr>
            </w:pPr>
            <w:r w:rsidRPr="00224C1B">
              <w:rPr>
                <w:b w:val="0"/>
                <w:bCs w:val="0"/>
                <w:lang w:val="lv-LV"/>
              </w:rPr>
              <w:t>Vecākais juriskonsults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2" w14:textId="77777777" w:rsidR="007F09CB" w:rsidRPr="00224C1B" w:rsidRDefault="00DB28EC" w:rsidP="00224C1B">
            <w:pPr>
              <w:spacing w:before="0" w:after="0"/>
              <w:jc w:val="center"/>
              <w:rPr>
                <w:b w:val="0"/>
                <w:bCs w:val="0"/>
                <w:lang w:val="lv-LV"/>
              </w:rPr>
            </w:pPr>
            <w:r w:rsidRPr="00224C1B">
              <w:rPr>
                <w:b w:val="0"/>
                <w:bCs w:val="0"/>
                <w:lang w:val="lv-LV"/>
              </w:rPr>
              <w:t>3</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3"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4" w14:textId="77777777" w:rsidR="007F09CB" w:rsidRPr="00224C1B" w:rsidRDefault="00DB28EC" w:rsidP="00224C1B">
            <w:pPr>
              <w:spacing w:before="0" w:after="0"/>
              <w:jc w:val="center"/>
              <w:rPr>
                <w:b w:val="0"/>
                <w:bCs w:val="0"/>
                <w:lang w:val="lv-LV"/>
              </w:rPr>
            </w:pPr>
            <w:r w:rsidRPr="00224C1B">
              <w:rPr>
                <w:b w:val="0"/>
                <w:bCs w:val="0"/>
                <w:lang w:val="lv-LV"/>
              </w:rPr>
              <w:t>3 000</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5" w14:textId="77777777" w:rsidR="007F09CB" w:rsidRPr="00224C1B" w:rsidRDefault="00DB28EC" w:rsidP="00224C1B">
            <w:pPr>
              <w:spacing w:before="0" w:after="0"/>
              <w:jc w:val="center"/>
              <w:rPr>
                <w:b w:val="0"/>
                <w:bCs w:val="0"/>
                <w:lang w:val="lv-LV"/>
              </w:rPr>
            </w:pPr>
            <w:r w:rsidRPr="00224C1B">
              <w:rPr>
                <w:b w:val="0"/>
                <w:bCs w:val="0"/>
                <w:lang w:val="lv-LV"/>
              </w:rPr>
              <w:t>1 950</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6" w14:textId="77777777" w:rsidR="007F09CB" w:rsidRPr="00224C1B" w:rsidRDefault="00DB28EC" w:rsidP="00224C1B">
            <w:pPr>
              <w:spacing w:before="0" w:after="0"/>
              <w:jc w:val="center"/>
              <w:rPr>
                <w:b w:val="0"/>
                <w:bCs w:val="0"/>
                <w:lang w:val="lv-LV"/>
              </w:rPr>
            </w:pPr>
            <w:r w:rsidRPr="00224C1B">
              <w:rPr>
                <w:b w:val="0"/>
                <w:bCs w:val="0"/>
                <w:lang w:val="lv-LV"/>
              </w:rPr>
              <w:t>37 950</w:t>
            </w:r>
          </w:p>
        </w:tc>
      </w:tr>
      <w:tr w:rsidR="007F09CB" w:rsidRPr="0053072A" w14:paraId="70107C5A" w14:textId="77777777">
        <w:trPr>
          <w:trHeight w:val="23"/>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7" w14:textId="77777777" w:rsidR="007F09CB" w:rsidRPr="00224C1B" w:rsidRDefault="00DB28EC" w:rsidP="00224C1B">
            <w:pPr>
              <w:spacing w:before="0" w:after="0"/>
              <w:jc w:val="left"/>
              <w:rPr>
                <w:b w:val="0"/>
                <w:bCs w:val="0"/>
                <w:lang w:val="lv-LV"/>
              </w:rPr>
            </w:pPr>
            <w:r w:rsidRPr="00224C1B">
              <w:rPr>
                <w:b w:val="0"/>
                <w:bCs w:val="0"/>
                <w:lang w:val="lv-LV"/>
              </w:rPr>
              <w:t>Administratīvo funkciju eksperts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8" w14:textId="77777777" w:rsidR="007F09CB" w:rsidRPr="00224C1B" w:rsidRDefault="00DB28EC" w:rsidP="00224C1B">
            <w:pPr>
              <w:spacing w:before="0" w:after="0"/>
              <w:jc w:val="center"/>
              <w:rPr>
                <w:b w:val="0"/>
                <w:bCs w:val="0"/>
                <w:lang w:val="lv-LV"/>
              </w:rPr>
            </w:pPr>
            <w:r w:rsidRPr="00224C1B">
              <w:rPr>
                <w:b w:val="0"/>
                <w:bCs w:val="0"/>
                <w:lang w:val="lv-LV"/>
              </w:rPr>
              <w:t>4</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9"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A" w14:textId="77777777" w:rsidR="007F09CB" w:rsidRPr="00224C1B" w:rsidRDefault="00DB28EC" w:rsidP="00224C1B">
            <w:pPr>
              <w:spacing w:before="0" w:after="0"/>
              <w:jc w:val="center"/>
              <w:rPr>
                <w:b w:val="0"/>
                <w:bCs w:val="0"/>
                <w:lang w:val="lv-LV"/>
              </w:rPr>
            </w:pPr>
            <w:r w:rsidRPr="00224C1B">
              <w:rPr>
                <w:b w:val="0"/>
                <w:bCs w:val="0"/>
                <w:lang w:val="lv-LV"/>
              </w:rPr>
              <w:t>1 600</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B" w14:textId="77777777" w:rsidR="007F09CB" w:rsidRPr="00224C1B" w:rsidRDefault="00DB28EC" w:rsidP="00224C1B">
            <w:pPr>
              <w:spacing w:before="0" w:after="0"/>
              <w:jc w:val="center"/>
              <w:rPr>
                <w:b w:val="0"/>
                <w:bCs w:val="0"/>
                <w:lang w:val="lv-LV"/>
              </w:rPr>
            </w:pPr>
            <w:r w:rsidRPr="00224C1B">
              <w:rPr>
                <w:b w:val="0"/>
                <w:bCs w:val="0"/>
                <w:lang w:val="lv-LV"/>
              </w:rPr>
              <w:t>1 040</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C" w14:textId="77777777" w:rsidR="007F09CB" w:rsidRPr="00224C1B" w:rsidRDefault="00DB28EC" w:rsidP="00224C1B">
            <w:pPr>
              <w:spacing w:before="0" w:after="0"/>
              <w:jc w:val="center"/>
              <w:rPr>
                <w:b w:val="0"/>
                <w:bCs w:val="0"/>
                <w:lang w:val="lv-LV"/>
              </w:rPr>
            </w:pPr>
            <w:r w:rsidRPr="00224C1B">
              <w:rPr>
                <w:b w:val="0"/>
                <w:bCs w:val="0"/>
                <w:lang w:val="lv-LV"/>
              </w:rPr>
              <w:t>20 240</w:t>
            </w:r>
          </w:p>
        </w:tc>
      </w:tr>
      <w:tr w:rsidR="007F09CB" w:rsidRPr="0053072A" w14:paraId="437F6B4D" w14:textId="77777777">
        <w:trPr>
          <w:trHeight w:val="23"/>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D" w14:textId="77777777" w:rsidR="007F09CB" w:rsidRPr="00224C1B" w:rsidRDefault="00DB28EC" w:rsidP="00224C1B">
            <w:pPr>
              <w:spacing w:before="0" w:after="0"/>
              <w:jc w:val="left"/>
              <w:rPr>
                <w:b w:val="0"/>
                <w:bCs w:val="0"/>
                <w:lang w:val="lv-LV"/>
              </w:rPr>
            </w:pPr>
            <w:r w:rsidRPr="00224C1B">
              <w:rPr>
                <w:b w:val="0"/>
                <w:bCs w:val="0"/>
                <w:lang w:val="lv-LV"/>
              </w:rPr>
              <w:t>Juriskonsults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E" w14:textId="77777777" w:rsidR="007F09CB" w:rsidRPr="00224C1B" w:rsidRDefault="00DB28EC" w:rsidP="00224C1B">
            <w:pPr>
              <w:spacing w:before="0" w:after="0"/>
              <w:jc w:val="center"/>
              <w:rPr>
                <w:b w:val="0"/>
                <w:bCs w:val="0"/>
                <w:lang w:val="lv-LV"/>
              </w:rPr>
            </w:pPr>
            <w:r w:rsidRPr="00224C1B">
              <w:rPr>
                <w:b w:val="0"/>
                <w:bCs w:val="0"/>
                <w:lang w:val="lv-LV"/>
              </w:rPr>
              <w:t>5</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9F"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0" w14:textId="77777777" w:rsidR="007F09CB" w:rsidRPr="00224C1B" w:rsidRDefault="00DB28EC" w:rsidP="00224C1B">
            <w:pPr>
              <w:spacing w:before="0" w:after="0"/>
              <w:jc w:val="center"/>
              <w:rPr>
                <w:b w:val="0"/>
                <w:bCs w:val="0"/>
                <w:lang w:val="lv-LV"/>
              </w:rPr>
            </w:pPr>
            <w:r w:rsidRPr="00224C1B">
              <w:rPr>
                <w:b w:val="0"/>
                <w:bCs w:val="0"/>
                <w:lang w:val="lv-LV"/>
              </w:rPr>
              <w:t>2 306</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1" w14:textId="77777777" w:rsidR="007F09CB" w:rsidRPr="00224C1B" w:rsidRDefault="00DB28EC" w:rsidP="00224C1B">
            <w:pPr>
              <w:spacing w:before="0" w:after="0"/>
              <w:jc w:val="center"/>
              <w:rPr>
                <w:b w:val="0"/>
                <w:bCs w:val="0"/>
                <w:lang w:val="lv-LV"/>
              </w:rPr>
            </w:pPr>
            <w:r w:rsidRPr="00224C1B">
              <w:rPr>
                <w:b w:val="0"/>
                <w:bCs w:val="0"/>
                <w:lang w:val="lv-LV"/>
              </w:rPr>
              <w:t>1 499</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2" w14:textId="77777777" w:rsidR="007F09CB" w:rsidRPr="00224C1B" w:rsidRDefault="00DB28EC" w:rsidP="00224C1B">
            <w:pPr>
              <w:spacing w:before="0" w:after="0"/>
              <w:jc w:val="center"/>
              <w:rPr>
                <w:b w:val="0"/>
                <w:bCs w:val="0"/>
                <w:lang w:val="lv-LV"/>
              </w:rPr>
            </w:pPr>
            <w:r w:rsidRPr="00224C1B">
              <w:rPr>
                <w:b w:val="0"/>
                <w:bCs w:val="0"/>
                <w:lang w:val="lv-LV"/>
              </w:rPr>
              <w:t>29 171</w:t>
            </w:r>
          </w:p>
        </w:tc>
      </w:tr>
      <w:tr w:rsidR="007F09CB" w:rsidRPr="0053072A" w14:paraId="0A444450" w14:textId="77777777">
        <w:trPr>
          <w:trHeight w:val="23"/>
        </w:trPr>
        <w:tc>
          <w:tcPr>
            <w:tcW w:w="2265"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3" w14:textId="77777777" w:rsidR="007F09CB" w:rsidRPr="00224C1B" w:rsidRDefault="00DB28EC" w:rsidP="00224C1B">
            <w:pPr>
              <w:spacing w:before="0" w:after="0"/>
              <w:jc w:val="left"/>
              <w:rPr>
                <w:b w:val="0"/>
                <w:bCs w:val="0"/>
                <w:lang w:val="lv-LV"/>
              </w:rPr>
            </w:pPr>
            <w:r w:rsidRPr="00224C1B">
              <w:rPr>
                <w:b w:val="0"/>
                <w:bCs w:val="0"/>
                <w:lang w:val="lv-LV"/>
              </w:rPr>
              <w:t>Grāmatvedis</w:t>
            </w:r>
          </w:p>
        </w:tc>
        <w:tc>
          <w:tcPr>
            <w:tcW w:w="60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4" w14:textId="77777777" w:rsidR="007F09CB" w:rsidRPr="00224C1B" w:rsidRDefault="00DB28EC" w:rsidP="00224C1B">
            <w:pPr>
              <w:spacing w:before="0" w:after="0"/>
              <w:jc w:val="center"/>
              <w:rPr>
                <w:b w:val="0"/>
                <w:bCs w:val="0"/>
                <w:lang w:val="lv-LV"/>
              </w:rPr>
            </w:pPr>
            <w:r w:rsidRPr="00224C1B">
              <w:rPr>
                <w:b w:val="0"/>
                <w:bCs w:val="0"/>
                <w:lang w:val="lv-LV"/>
              </w:rPr>
              <w:t>6</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5"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6" w14:textId="77777777" w:rsidR="007F09CB" w:rsidRPr="00224C1B" w:rsidRDefault="00DB28EC" w:rsidP="00224C1B">
            <w:pPr>
              <w:spacing w:before="0" w:after="0"/>
              <w:jc w:val="center"/>
              <w:rPr>
                <w:b w:val="0"/>
                <w:bCs w:val="0"/>
                <w:lang w:val="lv-LV"/>
              </w:rPr>
            </w:pPr>
            <w:r w:rsidRPr="00224C1B">
              <w:rPr>
                <w:b w:val="0"/>
                <w:bCs w:val="0"/>
                <w:lang w:val="lv-LV"/>
              </w:rPr>
              <w:t>2 211</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7" w14:textId="77777777" w:rsidR="007F09CB" w:rsidRPr="00224C1B" w:rsidRDefault="00DB28EC" w:rsidP="00224C1B">
            <w:pPr>
              <w:spacing w:before="0" w:after="0"/>
              <w:jc w:val="center"/>
              <w:rPr>
                <w:b w:val="0"/>
                <w:bCs w:val="0"/>
                <w:lang w:val="lv-LV"/>
              </w:rPr>
            </w:pPr>
            <w:r w:rsidRPr="00224C1B">
              <w:rPr>
                <w:b w:val="0"/>
                <w:bCs w:val="0"/>
                <w:lang w:val="lv-LV"/>
              </w:rPr>
              <w:t>1 437</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8" w14:textId="77777777" w:rsidR="007F09CB" w:rsidRPr="00224C1B" w:rsidRDefault="00DB28EC" w:rsidP="00224C1B">
            <w:pPr>
              <w:spacing w:before="0" w:after="0"/>
              <w:jc w:val="center"/>
              <w:rPr>
                <w:b w:val="0"/>
                <w:bCs w:val="0"/>
                <w:lang w:val="lv-LV"/>
              </w:rPr>
            </w:pPr>
            <w:r w:rsidRPr="00224C1B">
              <w:rPr>
                <w:b w:val="0"/>
                <w:bCs w:val="0"/>
                <w:lang w:val="lv-LV"/>
              </w:rPr>
              <w:t>27 969</w:t>
            </w:r>
          </w:p>
        </w:tc>
      </w:tr>
      <w:tr w:rsidR="007F09CB" w:rsidRPr="0053072A" w14:paraId="77FD74A5" w14:textId="77777777">
        <w:trPr>
          <w:trHeight w:val="23"/>
        </w:trPr>
        <w:tc>
          <w:tcPr>
            <w:tcW w:w="2865" w:type="dxa"/>
            <w:gridSpan w:val="2"/>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tcPr>
          <w:p w14:paraId="000001A9" w14:textId="77777777" w:rsidR="007F09CB" w:rsidRPr="00224C1B" w:rsidRDefault="00DB28EC" w:rsidP="00224C1B">
            <w:pPr>
              <w:spacing w:before="0" w:after="0"/>
              <w:rPr>
                <w:b w:val="0"/>
                <w:bCs w:val="0"/>
                <w:lang w:val="lv-LV"/>
              </w:rPr>
            </w:pPr>
            <w:r w:rsidRPr="00224C1B">
              <w:rPr>
                <w:b w:val="0"/>
                <w:bCs w:val="0"/>
                <w:lang w:val="lv-LV"/>
              </w:rPr>
              <w:t>Atalgojums ar piemaksām</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tcPr>
          <w:p w14:paraId="000001AB" w14:textId="77777777" w:rsidR="007F09CB" w:rsidRPr="00224C1B" w:rsidRDefault="007F09CB" w:rsidP="00224C1B">
            <w:pPr>
              <w:spacing w:before="0" w:after="0"/>
              <w:rPr>
                <w:b w:val="0"/>
                <w:bCs w:val="0"/>
                <w:lang w:val="lv-LV"/>
              </w:rPr>
            </w:pPr>
          </w:p>
        </w:tc>
        <w:tc>
          <w:tcPr>
            <w:tcW w:w="165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C" w14:textId="77777777" w:rsidR="007F09CB" w:rsidRPr="00224C1B" w:rsidRDefault="00DB28EC" w:rsidP="00224C1B">
            <w:pPr>
              <w:spacing w:before="0" w:after="0"/>
              <w:jc w:val="center"/>
              <w:rPr>
                <w:b w:val="0"/>
                <w:bCs w:val="0"/>
                <w:lang w:val="lv-LV"/>
              </w:rPr>
            </w:pPr>
            <w:r w:rsidRPr="00224C1B">
              <w:rPr>
                <w:b w:val="0"/>
                <w:bCs w:val="0"/>
                <w:lang w:val="lv-LV"/>
              </w:rPr>
              <w:t>14 667</w:t>
            </w:r>
          </w:p>
        </w:tc>
        <w:tc>
          <w:tcPr>
            <w:tcW w:w="234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D" w14:textId="77777777" w:rsidR="007F09CB" w:rsidRPr="00224C1B" w:rsidRDefault="00DB28EC" w:rsidP="00224C1B">
            <w:pPr>
              <w:spacing w:before="0" w:after="0"/>
              <w:jc w:val="center"/>
              <w:rPr>
                <w:b w:val="0"/>
                <w:bCs w:val="0"/>
                <w:lang w:val="lv-LV"/>
              </w:rPr>
            </w:pPr>
            <w:r w:rsidRPr="00224C1B">
              <w:rPr>
                <w:b w:val="0"/>
                <w:bCs w:val="0"/>
                <w:lang w:val="lv-LV"/>
              </w:rPr>
              <w:t>9 534</w:t>
            </w:r>
          </w:p>
        </w:tc>
        <w:tc>
          <w:tcPr>
            <w:tcW w:w="1260" w:type="dxa"/>
            <w:tcBorders>
              <w:top w:val="single" w:sz="12" w:space="0" w:color="FFFFFF"/>
              <w:left w:val="single" w:sz="12" w:space="0" w:color="FFFFFF"/>
              <w:bottom w:val="single" w:sz="12" w:space="0" w:color="FFFFFF"/>
              <w:right w:val="single" w:sz="12" w:space="0" w:color="FFFFFF"/>
            </w:tcBorders>
            <w:shd w:val="clear" w:color="auto" w:fill="F2F2F2"/>
            <w:tcMar>
              <w:top w:w="100" w:type="dxa"/>
              <w:left w:w="100" w:type="dxa"/>
              <w:bottom w:w="100" w:type="dxa"/>
              <w:right w:w="100" w:type="dxa"/>
            </w:tcMar>
            <w:vAlign w:val="center"/>
          </w:tcPr>
          <w:p w14:paraId="000001AE" w14:textId="77777777" w:rsidR="007F09CB" w:rsidRPr="00224C1B" w:rsidRDefault="00DB28EC" w:rsidP="00224C1B">
            <w:pPr>
              <w:spacing w:before="0" w:after="0"/>
              <w:jc w:val="center"/>
              <w:rPr>
                <w:b w:val="0"/>
                <w:bCs w:val="0"/>
                <w:lang w:val="lv-LV"/>
              </w:rPr>
            </w:pPr>
            <w:r w:rsidRPr="00224C1B">
              <w:rPr>
                <w:b w:val="0"/>
                <w:bCs w:val="0"/>
                <w:lang w:val="lv-LV"/>
              </w:rPr>
              <w:t>185 538</w:t>
            </w:r>
          </w:p>
        </w:tc>
      </w:tr>
    </w:tbl>
    <w:p w14:paraId="000001AF" w14:textId="77777777" w:rsidR="007F09CB" w:rsidRPr="0053072A" w:rsidRDefault="00DB28EC" w:rsidP="00224C1B">
      <w:pPr>
        <w:pStyle w:val="Bottomcaption"/>
        <w:framePr w:wrap="around"/>
        <w:rPr>
          <w:lang w:val="lv-LV"/>
        </w:rPr>
      </w:pPr>
      <w:r w:rsidRPr="0053072A">
        <w:rPr>
          <w:lang w:val="lv-LV"/>
        </w:rPr>
        <w:t>Avots: pētījuma autoru aprēķini</w:t>
      </w:r>
    </w:p>
    <w:p w14:paraId="000001B0" w14:textId="77777777" w:rsidR="007F09CB" w:rsidRPr="0053072A" w:rsidRDefault="00DB28EC">
      <w:pPr>
        <w:rPr>
          <w:lang w:val="lv-LV"/>
        </w:rPr>
      </w:pPr>
      <w:r w:rsidRPr="0053072A">
        <w:rPr>
          <w:lang w:val="lv-LV"/>
        </w:rPr>
        <w:t>Ņemot vērā, ka vēl 2023. gadā nav paredzēts veikt drošības rezervju iegādi, šajā gadā ir nepieciešams mazāk cilvēkresursu. 2023. gadā paredzētas 6 pilna laika vakances, taču sākot no 2024. gada ir paredzētas papildu vakances.</w:t>
      </w:r>
    </w:p>
    <w:p w14:paraId="000001B1" w14:textId="77777777" w:rsidR="007F09CB" w:rsidRPr="0053072A" w:rsidRDefault="00DB28EC" w:rsidP="00224C1B">
      <w:pPr>
        <w:pStyle w:val="Caption"/>
        <w:framePr w:wrap="around"/>
        <w:rPr>
          <w:lang w:val="lv-LV"/>
        </w:rPr>
      </w:pPr>
      <w:r w:rsidRPr="0053072A">
        <w:rPr>
          <w:lang w:val="lv-LV"/>
        </w:rPr>
        <w:t>Tabula 5. Amatu sadalījums un prognozētās atalgojuma IZMAKSAS aģentūras ietvaros, sākot no 2024. gada</w:t>
      </w:r>
    </w:p>
    <w:tbl>
      <w:tblPr>
        <w:tblStyle w:val="aff"/>
        <w:tblW w:w="9450" w:type="dxa"/>
        <w:tblInd w:w="113" w:type="dxa"/>
        <w:tblBorders>
          <w:top w:val="nil"/>
          <w:left w:val="nil"/>
          <w:bottom w:val="nil"/>
          <w:right w:val="nil"/>
          <w:insideH w:val="nil"/>
          <w:insideV w:val="nil"/>
        </w:tblBorders>
        <w:tblLayout w:type="fixed"/>
        <w:tblLook w:val="0600" w:firstRow="0" w:lastRow="0" w:firstColumn="0" w:lastColumn="0" w:noHBand="1" w:noVBand="1"/>
      </w:tblPr>
      <w:tblGrid>
        <w:gridCol w:w="2240"/>
        <w:gridCol w:w="540"/>
        <w:gridCol w:w="1440"/>
        <w:gridCol w:w="1620"/>
        <w:gridCol w:w="2340"/>
        <w:gridCol w:w="1270"/>
      </w:tblGrid>
      <w:tr w:rsidR="007F09CB" w:rsidRPr="0053072A" w14:paraId="5170D800" w14:textId="77777777">
        <w:trPr>
          <w:trHeight w:val="501"/>
        </w:trPr>
        <w:tc>
          <w:tcPr>
            <w:tcW w:w="2240" w:type="dxa"/>
            <w:tcBorders>
              <w:top w:val="single" w:sz="8" w:space="0" w:color="FFFFFF"/>
              <w:left w:val="single" w:sz="8" w:space="0" w:color="FFFFFF"/>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2" w14:textId="77777777" w:rsidR="007F09CB" w:rsidRPr="0053072A" w:rsidRDefault="00DB28EC" w:rsidP="00224C1B">
            <w:pPr>
              <w:spacing w:before="0" w:after="0"/>
              <w:jc w:val="left"/>
              <w:rPr>
                <w:color w:val="FFFFFF"/>
                <w:lang w:val="lv-LV"/>
              </w:rPr>
            </w:pPr>
            <w:r w:rsidRPr="0053072A">
              <w:rPr>
                <w:color w:val="FFFFFF"/>
                <w:lang w:val="lv-LV"/>
              </w:rPr>
              <w:t>Pozīcija</w:t>
            </w:r>
          </w:p>
        </w:tc>
        <w:tc>
          <w:tcPr>
            <w:tcW w:w="540"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3" w14:textId="77777777" w:rsidR="007F09CB" w:rsidRPr="0053072A" w:rsidRDefault="00DB28EC" w:rsidP="00224C1B">
            <w:pPr>
              <w:spacing w:before="0" w:after="0"/>
              <w:jc w:val="left"/>
              <w:rPr>
                <w:color w:val="FFFFFF"/>
                <w:lang w:val="lv-LV"/>
              </w:rPr>
            </w:pPr>
            <w:r w:rsidRPr="0053072A">
              <w:rPr>
                <w:color w:val="FFFFFF"/>
                <w:lang w:val="lv-LV"/>
              </w:rPr>
              <w:t>Nr.</w:t>
            </w:r>
          </w:p>
        </w:tc>
        <w:tc>
          <w:tcPr>
            <w:tcW w:w="1440"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4" w14:textId="77777777" w:rsidR="007F09CB" w:rsidRPr="0053072A" w:rsidRDefault="00DB28EC" w:rsidP="00224C1B">
            <w:pPr>
              <w:spacing w:before="0" w:after="0"/>
              <w:jc w:val="left"/>
              <w:rPr>
                <w:color w:val="FFFFFF"/>
                <w:lang w:val="lv-LV"/>
              </w:rPr>
            </w:pPr>
            <w:r w:rsidRPr="0053072A">
              <w:rPr>
                <w:color w:val="FFFFFF"/>
                <w:lang w:val="lv-LV"/>
              </w:rPr>
              <w:t>Kategorija</w:t>
            </w:r>
          </w:p>
        </w:tc>
        <w:tc>
          <w:tcPr>
            <w:tcW w:w="1620"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5" w14:textId="77777777" w:rsidR="007F09CB" w:rsidRPr="0053072A" w:rsidRDefault="00DB28EC" w:rsidP="00224C1B">
            <w:pPr>
              <w:spacing w:before="0" w:after="0"/>
              <w:jc w:val="left"/>
              <w:rPr>
                <w:color w:val="FFFFFF"/>
                <w:lang w:val="lv-LV"/>
              </w:rPr>
            </w:pPr>
            <w:r w:rsidRPr="0053072A">
              <w:rPr>
                <w:color w:val="FFFFFF"/>
                <w:lang w:val="lv-LV"/>
              </w:rPr>
              <w:t>Alga, iekļaujot nodokļus, EUR</w:t>
            </w:r>
          </w:p>
        </w:tc>
        <w:tc>
          <w:tcPr>
            <w:tcW w:w="2340"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6" w14:textId="77777777" w:rsidR="007F09CB" w:rsidRPr="0053072A" w:rsidRDefault="00DB28EC" w:rsidP="00224C1B">
            <w:pPr>
              <w:spacing w:before="0" w:after="0"/>
              <w:jc w:val="left"/>
              <w:rPr>
                <w:i/>
                <w:color w:val="FFFFFF"/>
                <w:lang w:val="lv-LV"/>
              </w:rPr>
            </w:pPr>
            <w:r w:rsidRPr="0053072A">
              <w:rPr>
                <w:color w:val="FFFFFF"/>
                <w:lang w:val="lv-LV"/>
              </w:rPr>
              <w:t>Paredzamās piemaksas (</w:t>
            </w:r>
            <w:r w:rsidRPr="0053072A">
              <w:rPr>
                <w:i/>
                <w:color w:val="FFFFFF"/>
                <w:lang w:val="lv-LV"/>
              </w:rPr>
              <w:t>65% no mēnešalgas)</w:t>
            </w:r>
            <w:r w:rsidRPr="0053072A">
              <w:rPr>
                <w:color w:val="FFFFFF"/>
                <w:lang w:val="lv-LV"/>
              </w:rPr>
              <w:t>, EUR</w:t>
            </w:r>
          </w:p>
        </w:tc>
        <w:tc>
          <w:tcPr>
            <w:tcW w:w="1270"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1B7" w14:textId="77777777" w:rsidR="007F09CB" w:rsidRPr="0053072A" w:rsidRDefault="00DB28EC" w:rsidP="00224C1B">
            <w:pPr>
              <w:spacing w:before="0" w:after="0"/>
              <w:jc w:val="left"/>
              <w:rPr>
                <w:color w:val="FFFFFF"/>
                <w:lang w:val="lv-LV"/>
              </w:rPr>
            </w:pPr>
            <w:r w:rsidRPr="0053072A">
              <w:rPr>
                <w:color w:val="FFFFFF"/>
                <w:lang w:val="lv-LV"/>
              </w:rPr>
              <w:t>Kopā gadā, EUR</w:t>
            </w:r>
          </w:p>
        </w:tc>
      </w:tr>
      <w:tr w:rsidR="007F09CB" w:rsidRPr="0053072A" w14:paraId="711B4DCA"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8" w14:textId="77777777" w:rsidR="007F09CB" w:rsidRPr="00224C1B" w:rsidRDefault="00DB28EC" w:rsidP="00224C1B">
            <w:pPr>
              <w:spacing w:before="0" w:after="0"/>
              <w:jc w:val="left"/>
              <w:rPr>
                <w:b w:val="0"/>
                <w:bCs w:val="0"/>
                <w:lang w:val="lv-LV"/>
              </w:rPr>
            </w:pPr>
            <w:r w:rsidRPr="00224C1B">
              <w:rPr>
                <w:b w:val="0"/>
                <w:bCs w:val="0"/>
                <w:lang w:val="lv-LV"/>
              </w:rPr>
              <w:t>Iestādes vadītājs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9" w14:textId="77777777" w:rsidR="007F09CB" w:rsidRPr="00224C1B" w:rsidRDefault="00DB28EC" w:rsidP="00224C1B">
            <w:pPr>
              <w:spacing w:before="0" w:after="0"/>
              <w:jc w:val="center"/>
              <w:rPr>
                <w:b w:val="0"/>
                <w:bCs w:val="0"/>
                <w:lang w:val="lv-LV"/>
              </w:rPr>
            </w:pPr>
            <w:r w:rsidRPr="00224C1B">
              <w:rPr>
                <w:b w:val="0"/>
                <w:bCs w:val="0"/>
                <w:lang w:val="lv-LV"/>
              </w:rPr>
              <w:t>1</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A"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B" w14:textId="77777777" w:rsidR="007F09CB" w:rsidRPr="00224C1B" w:rsidRDefault="00DB28EC" w:rsidP="00224C1B">
            <w:pPr>
              <w:spacing w:before="0" w:after="0"/>
              <w:jc w:val="center"/>
              <w:rPr>
                <w:b w:val="0"/>
                <w:bCs w:val="0"/>
                <w:lang w:val="lv-LV"/>
              </w:rPr>
            </w:pPr>
            <w:r w:rsidRPr="00224C1B">
              <w:rPr>
                <w:b w:val="0"/>
                <w:bCs w:val="0"/>
                <w:lang w:val="lv-LV"/>
              </w:rPr>
              <w:t>3 950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C" w14:textId="77777777" w:rsidR="007F09CB" w:rsidRPr="00224C1B" w:rsidRDefault="00DB28EC" w:rsidP="00224C1B">
            <w:pPr>
              <w:spacing w:before="0" w:after="0"/>
              <w:jc w:val="center"/>
              <w:rPr>
                <w:b w:val="0"/>
                <w:bCs w:val="0"/>
                <w:lang w:val="lv-LV"/>
              </w:rPr>
            </w:pPr>
            <w:r w:rsidRPr="00224C1B">
              <w:rPr>
                <w:b w:val="0"/>
                <w:bCs w:val="0"/>
                <w:lang w:val="lv-LV"/>
              </w:rPr>
              <w:t>2 568</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D" w14:textId="77777777" w:rsidR="007F09CB" w:rsidRPr="00224C1B" w:rsidRDefault="00DB28EC" w:rsidP="00224C1B">
            <w:pPr>
              <w:spacing w:before="0" w:after="0"/>
              <w:jc w:val="center"/>
              <w:rPr>
                <w:b w:val="0"/>
                <w:bCs w:val="0"/>
                <w:lang w:val="lv-LV"/>
              </w:rPr>
            </w:pPr>
            <w:r w:rsidRPr="00224C1B">
              <w:rPr>
                <w:b w:val="0"/>
                <w:bCs w:val="0"/>
                <w:lang w:val="lv-LV"/>
              </w:rPr>
              <w:t>49 968</w:t>
            </w:r>
          </w:p>
        </w:tc>
      </w:tr>
      <w:tr w:rsidR="007F09CB" w:rsidRPr="0053072A" w14:paraId="3F843DC3" w14:textId="77777777">
        <w:trPr>
          <w:trHeight w:val="44"/>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E" w14:textId="77777777" w:rsidR="007F09CB" w:rsidRPr="00224C1B" w:rsidRDefault="00DB28EC" w:rsidP="00224C1B">
            <w:pPr>
              <w:spacing w:before="0" w:after="0"/>
              <w:jc w:val="left"/>
              <w:rPr>
                <w:b w:val="0"/>
                <w:bCs w:val="0"/>
                <w:lang w:val="lv-LV"/>
              </w:rPr>
            </w:pPr>
            <w:r w:rsidRPr="00224C1B">
              <w:rPr>
                <w:b w:val="0"/>
                <w:bCs w:val="0"/>
                <w:lang w:val="lv-LV"/>
              </w:rPr>
              <w:t>Padomes loceklis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BF" w14:textId="77777777" w:rsidR="007F09CB" w:rsidRPr="00224C1B" w:rsidRDefault="00DB28EC" w:rsidP="00224C1B">
            <w:pPr>
              <w:spacing w:before="0" w:after="0"/>
              <w:jc w:val="center"/>
              <w:rPr>
                <w:b w:val="0"/>
                <w:bCs w:val="0"/>
                <w:lang w:val="lv-LV"/>
              </w:rPr>
            </w:pPr>
            <w:r w:rsidRPr="00224C1B">
              <w:rPr>
                <w:b w:val="0"/>
                <w:bCs w:val="0"/>
                <w:lang w:val="lv-LV"/>
              </w:rPr>
              <w:t>2</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0" w14:textId="77777777" w:rsidR="007F09CB" w:rsidRPr="00224C1B" w:rsidRDefault="00DB28EC" w:rsidP="00224C1B">
            <w:pPr>
              <w:spacing w:before="0" w:after="0"/>
              <w:jc w:val="center"/>
              <w:rPr>
                <w:b w:val="0"/>
                <w:bCs w:val="0"/>
                <w:lang w:val="lv-LV"/>
              </w:rPr>
            </w:pPr>
            <w:r w:rsidRPr="00224C1B">
              <w:rPr>
                <w:b w:val="0"/>
                <w:bCs w:val="0"/>
                <w:lang w:val="lv-LV"/>
              </w:rPr>
              <w:t>Nepilna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1" w14:textId="77777777" w:rsidR="007F09CB" w:rsidRPr="00224C1B" w:rsidRDefault="00DB28EC" w:rsidP="00224C1B">
            <w:pPr>
              <w:spacing w:before="0" w:after="0"/>
              <w:jc w:val="center"/>
              <w:rPr>
                <w:b w:val="0"/>
                <w:bCs w:val="0"/>
                <w:lang w:val="lv-LV"/>
              </w:rPr>
            </w:pPr>
            <w:r w:rsidRPr="00224C1B">
              <w:rPr>
                <w:b w:val="0"/>
                <w:bCs w:val="0"/>
                <w:lang w:val="lv-LV"/>
              </w:rPr>
              <w:t>950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2" w14:textId="77777777" w:rsidR="007F09CB" w:rsidRPr="00224C1B" w:rsidRDefault="00DB28EC" w:rsidP="00224C1B">
            <w:pPr>
              <w:spacing w:before="0" w:after="0"/>
              <w:jc w:val="center"/>
              <w:rPr>
                <w:b w:val="0"/>
                <w:bCs w:val="0"/>
                <w:lang w:val="lv-LV"/>
              </w:rPr>
            </w:pPr>
            <w:r w:rsidRPr="00224C1B">
              <w:rPr>
                <w:b w:val="0"/>
                <w:bCs w:val="0"/>
                <w:lang w:val="lv-LV"/>
              </w:rPr>
              <w:t>618</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3" w14:textId="77777777" w:rsidR="007F09CB" w:rsidRPr="00224C1B" w:rsidRDefault="00DB28EC" w:rsidP="00224C1B">
            <w:pPr>
              <w:spacing w:before="0" w:after="0"/>
              <w:jc w:val="center"/>
              <w:rPr>
                <w:b w:val="0"/>
                <w:bCs w:val="0"/>
                <w:lang w:val="lv-LV"/>
              </w:rPr>
            </w:pPr>
            <w:r w:rsidRPr="00224C1B">
              <w:rPr>
                <w:b w:val="0"/>
                <w:bCs w:val="0"/>
                <w:lang w:val="lv-LV"/>
              </w:rPr>
              <w:t>12 018</w:t>
            </w:r>
          </w:p>
        </w:tc>
      </w:tr>
      <w:tr w:rsidR="007F09CB" w:rsidRPr="0053072A" w14:paraId="4F423396"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4" w14:textId="77777777" w:rsidR="007F09CB" w:rsidRPr="00224C1B" w:rsidRDefault="00DB28EC" w:rsidP="00224C1B">
            <w:pPr>
              <w:spacing w:before="0" w:after="0"/>
              <w:jc w:val="left"/>
              <w:rPr>
                <w:b w:val="0"/>
                <w:bCs w:val="0"/>
                <w:lang w:val="lv-LV"/>
              </w:rPr>
            </w:pPr>
            <w:r w:rsidRPr="00224C1B">
              <w:rPr>
                <w:b w:val="0"/>
                <w:bCs w:val="0"/>
                <w:lang w:val="lv-LV"/>
              </w:rPr>
              <w:t>Padomes loceklis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5" w14:textId="77777777" w:rsidR="007F09CB" w:rsidRPr="00224C1B" w:rsidRDefault="00DB28EC" w:rsidP="00224C1B">
            <w:pPr>
              <w:spacing w:before="0" w:after="0"/>
              <w:jc w:val="center"/>
              <w:rPr>
                <w:b w:val="0"/>
                <w:bCs w:val="0"/>
                <w:lang w:val="lv-LV"/>
              </w:rPr>
            </w:pPr>
            <w:r w:rsidRPr="00224C1B">
              <w:rPr>
                <w:b w:val="0"/>
                <w:bCs w:val="0"/>
                <w:lang w:val="lv-LV"/>
              </w:rPr>
              <w:t>3</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6" w14:textId="77777777" w:rsidR="007F09CB" w:rsidRPr="00224C1B" w:rsidRDefault="00DB28EC" w:rsidP="00224C1B">
            <w:pPr>
              <w:spacing w:before="0" w:after="0"/>
              <w:jc w:val="center"/>
              <w:rPr>
                <w:b w:val="0"/>
                <w:bCs w:val="0"/>
                <w:lang w:val="lv-LV"/>
              </w:rPr>
            </w:pPr>
            <w:r w:rsidRPr="00224C1B">
              <w:rPr>
                <w:b w:val="0"/>
                <w:bCs w:val="0"/>
                <w:lang w:val="lv-LV"/>
              </w:rPr>
              <w:t xml:space="preserve">Nepilna laika </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7" w14:textId="77777777" w:rsidR="007F09CB" w:rsidRPr="00224C1B" w:rsidRDefault="00DB28EC" w:rsidP="00224C1B">
            <w:pPr>
              <w:spacing w:before="0" w:after="0"/>
              <w:jc w:val="center"/>
              <w:rPr>
                <w:b w:val="0"/>
                <w:bCs w:val="0"/>
                <w:lang w:val="lv-LV"/>
              </w:rPr>
            </w:pPr>
            <w:r w:rsidRPr="00224C1B">
              <w:rPr>
                <w:b w:val="0"/>
                <w:bCs w:val="0"/>
                <w:lang w:val="lv-LV"/>
              </w:rPr>
              <w:t>950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8" w14:textId="77777777" w:rsidR="007F09CB" w:rsidRPr="00224C1B" w:rsidRDefault="00DB28EC" w:rsidP="00224C1B">
            <w:pPr>
              <w:spacing w:before="0" w:after="0"/>
              <w:jc w:val="center"/>
              <w:rPr>
                <w:b w:val="0"/>
                <w:bCs w:val="0"/>
                <w:lang w:val="lv-LV"/>
              </w:rPr>
            </w:pPr>
            <w:r w:rsidRPr="00224C1B">
              <w:rPr>
                <w:b w:val="0"/>
                <w:bCs w:val="0"/>
                <w:lang w:val="lv-LV"/>
              </w:rPr>
              <w:t>618</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9" w14:textId="77777777" w:rsidR="007F09CB" w:rsidRPr="00224C1B" w:rsidRDefault="00DB28EC" w:rsidP="00224C1B">
            <w:pPr>
              <w:spacing w:before="0" w:after="0"/>
              <w:jc w:val="center"/>
              <w:rPr>
                <w:b w:val="0"/>
                <w:bCs w:val="0"/>
                <w:lang w:val="lv-LV"/>
              </w:rPr>
            </w:pPr>
            <w:r w:rsidRPr="00224C1B">
              <w:rPr>
                <w:b w:val="0"/>
                <w:bCs w:val="0"/>
                <w:lang w:val="lv-LV"/>
              </w:rPr>
              <w:t>12 018</w:t>
            </w:r>
          </w:p>
        </w:tc>
      </w:tr>
      <w:tr w:rsidR="007F09CB" w:rsidRPr="0053072A" w14:paraId="39C1E1DA"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A" w14:textId="77777777" w:rsidR="007F09CB" w:rsidRPr="00224C1B" w:rsidRDefault="00DB28EC" w:rsidP="00224C1B">
            <w:pPr>
              <w:spacing w:before="0" w:after="0"/>
              <w:jc w:val="left"/>
              <w:rPr>
                <w:b w:val="0"/>
                <w:bCs w:val="0"/>
                <w:lang w:val="lv-LV"/>
              </w:rPr>
            </w:pPr>
            <w:r w:rsidRPr="00224C1B">
              <w:rPr>
                <w:b w:val="0"/>
                <w:bCs w:val="0"/>
                <w:lang w:val="lv-LV"/>
              </w:rPr>
              <w:t>Padomes loceklis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B" w14:textId="77777777" w:rsidR="007F09CB" w:rsidRPr="00224C1B" w:rsidRDefault="00DB28EC" w:rsidP="00224C1B">
            <w:pPr>
              <w:spacing w:before="0" w:after="0"/>
              <w:jc w:val="center"/>
              <w:rPr>
                <w:b w:val="0"/>
                <w:bCs w:val="0"/>
                <w:lang w:val="lv-LV"/>
              </w:rPr>
            </w:pPr>
            <w:r w:rsidRPr="00224C1B">
              <w:rPr>
                <w:b w:val="0"/>
                <w:bCs w:val="0"/>
                <w:lang w:val="lv-LV"/>
              </w:rPr>
              <w:t>4</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C" w14:textId="77777777" w:rsidR="007F09CB" w:rsidRPr="00224C1B" w:rsidRDefault="00DB28EC" w:rsidP="00224C1B">
            <w:pPr>
              <w:spacing w:before="0" w:after="0"/>
              <w:jc w:val="center"/>
              <w:rPr>
                <w:b w:val="0"/>
                <w:bCs w:val="0"/>
                <w:lang w:val="lv-LV"/>
              </w:rPr>
            </w:pPr>
            <w:r w:rsidRPr="00224C1B">
              <w:rPr>
                <w:b w:val="0"/>
                <w:bCs w:val="0"/>
                <w:lang w:val="lv-LV"/>
              </w:rPr>
              <w:t>Nepilna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D" w14:textId="77777777" w:rsidR="007F09CB" w:rsidRPr="00224C1B" w:rsidRDefault="00DB28EC" w:rsidP="00224C1B">
            <w:pPr>
              <w:spacing w:before="0" w:after="0"/>
              <w:jc w:val="center"/>
              <w:rPr>
                <w:b w:val="0"/>
                <w:bCs w:val="0"/>
                <w:lang w:val="lv-LV"/>
              </w:rPr>
            </w:pPr>
            <w:r w:rsidRPr="00224C1B">
              <w:rPr>
                <w:b w:val="0"/>
                <w:bCs w:val="0"/>
                <w:lang w:val="lv-LV"/>
              </w:rPr>
              <w:t>950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E" w14:textId="77777777" w:rsidR="007F09CB" w:rsidRPr="00224C1B" w:rsidRDefault="00DB28EC" w:rsidP="00224C1B">
            <w:pPr>
              <w:spacing w:before="0" w:after="0"/>
              <w:jc w:val="center"/>
              <w:rPr>
                <w:b w:val="0"/>
                <w:bCs w:val="0"/>
                <w:lang w:val="lv-LV"/>
              </w:rPr>
            </w:pPr>
            <w:r w:rsidRPr="00224C1B">
              <w:rPr>
                <w:b w:val="0"/>
                <w:bCs w:val="0"/>
                <w:lang w:val="lv-LV"/>
              </w:rPr>
              <w:t>618</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CF" w14:textId="77777777" w:rsidR="007F09CB" w:rsidRPr="00224C1B" w:rsidRDefault="00DB28EC" w:rsidP="00224C1B">
            <w:pPr>
              <w:spacing w:before="0" w:after="0"/>
              <w:jc w:val="center"/>
              <w:rPr>
                <w:b w:val="0"/>
                <w:bCs w:val="0"/>
                <w:lang w:val="lv-LV"/>
              </w:rPr>
            </w:pPr>
            <w:r w:rsidRPr="00224C1B">
              <w:rPr>
                <w:b w:val="0"/>
                <w:bCs w:val="0"/>
                <w:lang w:val="lv-LV"/>
              </w:rPr>
              <w:t>12 018</w:t>
            </w:r>
          </w:p>
        </w:tc>
      </w:tr>
      <w:tr w:rsidR="007F09CB" w:rsidRPr="0053072A" w14:paraId="5E02324C"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0" w14:textId="77777777" w:rsidR="007F09CB" w:rsidRPr="00224C1B" w:rsidRDefault="00DB28EC" w:rsidP="00224C1B">
            <w:pPr>
              <w:spacing w:before="0" w:after="0"/>
              <w:jc w:val="left"/>
              <w:rPr>
                <w:b w:val="0"/>
                <w:bCs w:val="0"/>
                <w:lang w:val="lv-LV"/>
              </w:rPr>
            </w:pPr>
            <w:r w:rsidRPr="00224C1B">
              <w:rPr>
                <w:b w:val="0"/>
                <w:bCs w:val="0"/>
                <w:lang w:val="lv-LV"/>
              </w:rPr>
              <w:t>Analītiķis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1" w14:textId="77777777" w:rsidR="007F09CB" w:rsidRPr="00224C1B" w:rsidRDefault="00DB28EC" w:rsidP="00224C1B">
            <w:pPr>
              <w:spacing w:before="0" w:after="0"/>
              <w:jc w:val="center"/>
              <w:rPr>
                <w:b w:val="0"/>
                <w:bCs w:val="0"/>
                <w:lang w:val="lv-LV"/>
              </w:rPr>
            </w:pPr>
            <w:r w:rsidRPr="00224C1B">
              <w:rPr>
                <w:b w:val="0"/>
                <w:bCs w:val="0"/>
                <w:lang w:val="lv-LV"/>
              </w:rPr>
              <w:t>5</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2"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3" w14:textId="77777777" w:rsidR="007F09CB" w:rsidRPr="00224C1B" w:rsidRDefault="00DB28EC" w:rsidP="00224C1B">
            <w:pPr>
              <w:spacing w:before="0" w:after="0"/>
              <w:jc w:val="center"/>
              <w:rPr>
                <w:b w:val="0"/>
                <w:bCs w:val="0"/>
                <w:lang w:val="lv-LV"/>
              </w:rPr>
            </w:pPr>
            <w:r w:rsidRPr="00224C1B">
              <w:rPr>
                <w:b w:val="0"/>
                <w:bCs w:val="0"/>
                <w:lang w:val="lv-LV"/>
              </w:rPr>
              <w:t>3 383</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4" w14:textId="77777777" w:rsidR="007F09CB" w:rsidRPr="00224C1B" w:rsidRDefault="00DB28EC" w:rsidP="00224C1B">
            <w:pPr>
              <w:spacing w:before="0" w:after="0"/>
              <w:jc w:val="center"/>
              <w:rPr>
                <w:b w:val="0"/>
                <w:bCs w:val="0"/>
                <w:lang w:val="lv-LV"/>
              </w:rPr>
            </w:pPr>
            <w:r w:rsidRPr="00224C1B">
              <w:rPr>
                <w:b w:val="0"/>
                <w:bCs w:val="0"/>
                <w:lang w:val="lv-LV"/>
              </w:rPr>
              <w:t>2 199</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5" w14:textId="77777777" w:rsidR="007F09CB" w:rsidRPr="00224C1B" w:rsidRDefault="00DB28EC" w:rsidP="00224C1B">
            <w:pPr>
              <w:spacing w:before="0" w:after="0"/>
              <w:jc w:val="center"/>
              <w:rPr>
                <w:b w:val="0"/>
                <w:bCs w:val="0"/>
                <w:lang w:val="lv-LV"/>
              </w:rPr>
            </w:pPr>
            <w:r w:rsidRPr="00224C1B">
              <w:rPr>
                <w:b w:val="0"/>
                <w:bCs w:val="0"/>
                <w:lang w:val="lv-LV"/>
              </w:rPr>
              <w:t>42 795</w:t>
            </w:r>
          </w:p>
        </w:tc>
      </w:tr>
      <w:tr w:rsidR="007F09CB" w:rsidRPr="0053072A" w14:paraId="1550801A"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6" w14:textId="77777777" w:rsidR="007F09CB" w:rsidRPr="00224C1B" w:rsidRDefault="00DB28EC" w:rsidP="00224C1B">
            <w:pPr>
              <w:spacing w:before="0" w:after="0"/>
              <w:jc w:val="left"/>
              <w:rPr>
                <w:b w:val="0"/>
                <w:bCs w:val="0"/>
                <w:lang w:val="lv-LV"/>
              </w:rPr>
            </w:pPr>
            <w:r w:rsidRPr="00224C1B">
              <w:rPr>
                <w:b w:val="0"/>
                <w:bCs w:val="0"/>
                <w:lang w:val="lv-LV"/>
              </w:rPr>
              <w:t>Inspektors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7" w14:textId="77777777" w:rsidR="007F09CB" w:rsidRPr="00224C1B" w:rsidRDefault="00DB28EC" w:rsidP="00224C1B">
            <w:pPr>
              <w:spacing w:before="0" w:after="0"/>
              <w:jc w:val="center"/>
              <w:rPr>
                <w:b w:val="0"/>
                <w:bCs w:val="0"/>
                <w:lang w:val="lv-LV"/>
              </w:rPr>
            </w:pPr>
            <w:r w:rsidRPr="00224C1B">
              <w:rPr>
                <w:b w:val="0"/>
                <w:bCs w:val="0"/>
                <w:lang w:val="lv-LV"/>
              </w:rPr>
              <w:t>6</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8"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9" w14:textId="77777777" w:rsidR="007F09CB" w:rsidRPr="00224C1B" w:rsidRDefault="00DB28EC" w:rsidP="00224C1B">
            <w:pPr>
              <w:spacing w:before="0" w:after="0"/>
              <w:jc w:val="center"/>
              <w:rPr>
                <w:b w:val="0"/>
                <w:bCs w:val="0"/>
                <w:lang w:val="lv-LV"/>
              </w:rPr>
            </w:pPr>
            <w:r w:rsidRPr="00224C1B">
              <w:rPr>
                <w:b w:val="0"/>
                <w:bCs w:val="0"/>
                <w:lang w:val="lv-LV"/>
              </w:rPr>
              <w:t>1 600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A" w14:textId="77777777" w:rsidR="007F09CB" w:rsidRPr="00224C1B" w:rsidRDefault="00DB28EC" w:rsidP="00224C1B">
            <w:pPr>
              <w:spacing w:before="0" w:after="0"/>
              <w:jc w:val="center"/>
              <w:rPr>
                <w:b w:val="0"/>
                <w:bCs w:val="0"/>
                <w:lang w:val="lv-LV"/>
              </w:rPr>
            </w:pPr>
            <w:r w:rsidRPr="00224C1B">
              <w:rPr>
                <w:b w:val="0"/>
                <w:bCs w:val="0"/>
                <w:lang w:val="lv-LV"/>
              </w:rPr>
              <w:t>1 040</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B" w14:textId="77777777" w:rsidR="007F09CB" w:rsidRPr="00224C1B" w:rsidRDefault="00DB28EC" w:rsidP="00224C1B">
            <w:pPr>
              <w:spacing w:before="0" w:after="0"/>
              <w:jc w:val="center"/>
              <w:rPr>
                <w:b w:val="0"/>
                <w:bCs w:val="0"/>
                <w:lang w:val="lv-LV"/>
              </w:rPr>
            </w:pPr>
            <w:r w:rsidRPr="00224C1B">
              <w:rPr>
                <w:b w:val="0"/>
                <w:bCs w:val="0"/>
                <w:lang w:val="lv-LV"/>
              </w:rPr>
              <w:t>20 240</w:t>
            </w:r>
          </w:p>
        </w:tc>
      </w:tr>
      <w:tr w:rsidR="007F09CB" w:rsidRPr="0053072A" w14:paraId="4C4F2DE7"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C" w14:textId="77777777" w:rsidR="007F09CB" w:rsidRPr="00224C1B" w:rsidRDefault="00DB28EC" w:rsidP="00224C1B">
            <w:pPr>
              <w:spacing w:before="0" w:after="0"/>
              <w:jc w:val="left"/>
              <w:rPr>
                <w:b w:val="0"/>
                <w:bCs w:val="0"/>
                <w:lang w:val="lv-LV"/>
              </w:rPr>
            </w:pPr>
            <w:r w:rsidRPr="00224C1B">
              <w:rPr>
                <w:b w:val="0"/>
                <w:bCs w:val="0"/>
                <w:lang w:val="lv-LV"/>
              </w:rPr>
              <w:t>Vecākais juriskonsults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D" w14:textId="77777777" w:rsidR="007F09CB" w:rsidRPr="00224C1B" w:rsidRDefault="00DB28EC" w:rsidP="00224C1B">
            <w:pPr>
              <w:spacing w:before="0" w:after="0"/>
              <w:jc w:val="center"/>
              <w:rPr>
                <w:b w:val="0"/>
                <w:bCs w:val="0"/>
                <w:lang w:val="lv-LV"/>
              </w:rPr>
            </w:pPr>
            <w:r w:rsidRPr="00224C1B">
              <w:rPr>
                <w:b w:val="0"/>
                <w:bCs w:val="0"/>
                <w:lang w:val="lv-LV"/>
              </w:rPr>
              <w:t>7</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E"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DF" w14:textId="77777777" w:rsidR="007F09CB" w:rsidRPr="00224C1B" w:rsidRDefault="00DB28EC" w:rsidP="00224C1B">
            <w:pPr>
              <w:spacing w:before="0" w:after="0"/>
              <w:jc w:val="center"/>
              <w:rPr>
                <w:b w:val="0"/>
                <w:bCs w:val="0"/>
                <w:lang w:val="lv-LV"/>
              </w:rPr>
            </w:pPr>
            <w:r w:rsidRPr="00224C1B">
              <w:rPr>
                <w:b w:val="0"/>
                <w:bCs w:val="0"/>
                <w:lang w:val="lv-LV"/>
              </w:rPr>
              <w:t>3 000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0" w14:textId="77777777" w:rsidR="007F09CB" w:rsidRPr="00224C1B" w:rsidRDefault="00DB28EC" w:rsidP="00224C1B">
            <w:pPr>
              <w:spacing w:before="0" w:after="0"/>
              <w:jc w:val="center"/>
              <w:rPr>
                <w:b w:val="0"/>
                <w:bCs w:val="0"/>
                <w:lang w:val="lv-LV"/>
              </w:rPr>
            </w:pPr>
            <w:r w:rsidRPr="00224C1B">
              <w:rPr>
                <w:b w:val="0"/>
                <w:bCs w:val="0"/>
                <w:lang w:val="lv-LV"/>
              </w:rPr>
              <w:t>1 950</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1" w14:textId="77777777" w:rsidR="007F09CB" w:rsidRPr="00224C1B" w:rsidRDefault="00DB28EC" w:rsidP="00224C1B">
            <w:pPr>
              <w:spacing w:before="0" w:after="0"/>
              <w:jc w:val="center"/>
              <w:rPr>
                <w:b w:val="0"/>
                <w:bCs w:val="0"/>
                <w:lang w:val="lv-LV"/>
              </w:rPr>
            </w:pPr>
            <w:r w:rsidRPr="00224C1B">
              <w:rPr>
                <w:b w:val="0"/>
                <w:bCs w:val="0"/>
                <w:lang w:val="lv-LV"/>
              </w:rPr>
              <w:t>37 950</w:t>
            </w:r>
          </w:p>
        </w:tc>
      </w:tr>
      <w:tr w:rsidR="007F09CB" w:rsidRPr="0053072A" w14:paraId="14A0C333"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2" w14:textId="77777777" w:rsidR="007F09CB" w:rsidRPr="00224C1B" w:rsidRDefault="00DB28EC" w:rsidP="00224C1B">
            <w:pPr>
              <w:spacing w:before="0" w:after="0"/>
              <w:jc w:val="left"/>
              <w:rPr>
                <w:b w:val="0"/>
                <w:bCs w:val="0"/>
                <w:lang w:val="lv-LV"/>
              </w:rPr>
            </w:pPr>
            <w:r w:rsidRPr="00224C1B">
              <w:rPr>
                <w:b w:val="0"/>
                <w:bCs w:val="0"/>
                <w:lang w:val="lv-LV"/>
              </w:rPr>
              <w:t>Administratīvo funkciju eksperts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3" w14:textId="77777777" w:rsidR="007F09CB" w:rsidRPr="00224C1B" w:rsidRDefault="00DB28EC" w:rsidP="00224C1B">
            <w:pPr>
              <w:spacing w:before="0" w:after="0"/>
              <w:jc w:val="center"/>
              <w:rPr>
                <w:b w:val="0"/>
                <w:bCs w:val="0"/>
                <w:lang w:val="lv-LV"/>
              </w:rPr>
            </w:pPr>
            <w:r w:rsidRPr="00224C1B">
              <w:rPr>
                <w:b w:val="0"/>
                <w:bCs w:val="0"/>
                <w:lang w:val="lv-LV"/>
              </w:rPr>
              <w:t>8</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4"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5" w14:textId="77777777" w:rsidR="007F09CB" w:rsidRPr="00224C1B" w:rsidRDefault="00DB28EC" w:rsidP="00224C1B">
            <w:pPr>
              <w:spacing w:before="0" w:after="0"/>
              <w:jc w:val="center"/>
              <w:rPr>
                <w:b w:val="0"/>
                <w:bCs w:val="0"/>
                <w:lang w:val="lv-LV"/>
              </w:rPr>
            </w:pPr>
            <w:r w:rsidRPr="00224C1B">
              <w:rPr>
                <w:b w:val="0"/>
                <w:bCs w:val="0"/>
                <w:lang w:val="lv-LV"/>
              </w:rPr>
              <w:t>1 600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6" w14:textId="77777777" w:rsidR="007F09CB" w:rsidRPr="00224C1B" w:rsidRDefault="00DB28EC" w:rsidP="00224C1B">
            <w:pPr>
              <w:spacing w:before="0" w:after="0"/>
              <w:jc w:val="center"/>
              <w:rPr>
                <w:b w:val="0"/>
                <w:bCs w:val="0"/>
                <w:lang w:val="lv-LV"/>
              </w:rPr>
            </w:pPr>
            <w:r w:rsidRPr="00224C1B">
              <w:rPr>
                <w:b w:val="0"/>
                <w:bCs w:val="0"/>
                <w:lang w:val="lv-LV"/>
              </w:rPr>
              <w:t>1 040</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7" w14:textId="77777777" w:rsidR="007F09CB" w:rsidRPr="00224C1B" w:rsidRDefault="00DB28EC" w:rsidP="00224C1B">
            <w:pPr>
              <w:spacing w:before="0" w:after="0"/>
              <w:jc w:val="center"/>
              <w:rPr>
                <w:b w:val="0"/>
                <w:bCs w:val="0"/>
                <w:lang w:val="lv-LV"/>
              </w:rPr>
            </w:pPr>
            <w:r w:rsidRPr="00224C1B">
              <w:rPr>
                <w:b w:val="0"/>
                <w:bCs w:val="0"/>
                <w:lang w:val="lv-LV"/>
              </w:rPr>
              <w:t>20 240</w:t>
            </w:r>
          </w:p>
        </w:tc>
      </w:tr>
      <w:tr w:rsidR="007F09CB" w:rsidRPr="0053072A" w14:paraId="766D2B8E"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8" w14:textId="77777777" w:rsidR="007F09CB" w:rsidRPr="00224C1B" w:rsidRDefault="00DB28EC" w:rsidP="00224C1B">
            <w:pPr>
              <w:spacing w:before="0" w:after="0"/>
              <w:jc w:val="left"/>
              <w:rPr>
                <w:b w:val="0"/>
                <w:bCs w:val="0"/>
                <w:lang w:val="lv-LV"/>
              </w:rPr>
            </w:pPr>
            <w:r w:rsidRPr="00224C1B">
              <w:rPr>
                <w:b w:val="0"/>
                <w:bCs w:val="0"/>
                <w:lang w:val="lv-LV"/>
              </w:rPr>
              <w:lastRenderedPageBreak/>
              <w:t>Juriskonsults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9" w14:textId="77777777" w:rsidR="007F09CB" w:rsidRPr="00224C1B" w:rsidRDefault="00DB28EC" w:rsidP="00224C1B">
            <w:pPr>
              <w:spacing w:before="0" w:after="0"/>
              <w:jc w:val="center"/>
              <w:rPr>
                <w:b w:val="0"/>
                <w:bCs w:val="0"/>
                <w:lang w:val="lv-LV"/>
              </w:rPr>
            </w:pPr>
            <w:r w:rsidRPr="00224C1B">
              <w:rPr>
                <w:b w:val="0"/>
                <w:bCs w:val="0"/>
                <w:lang w:val="lv-LV"/>
              </w:rPr>
              <w:t>9</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A"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B" w14:textId="77777777" w:rsidR="007F09CB" w:rsidRPr="00224C1B" w:rsidRDefault="00DB28EC" w:rsidP="00224C1B">
            <w:pPr>
              <w:spacing w:before="0" w:after="0"/>
              <w:jc w:val="center"/>
              <w:rPr>
                <w:b w:val="0"/>
                <w:bCs w:val="0"/>
                <w:lang w:val="lv-LV"/>
              </w:rPr>
            </w:pPr>
            <w:r w:rsidRPr="00224C1B">
              <w:rPr>
                <w:b w:val="0"/>
                <w:bCs w:val="0"/>
                <w:lang w:val="lv-LV"/>
              </w:rPr>
              <w:t>2 306</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C" w14:textId="77777777" w:rsidR="007F09CB" w:rsidRPr="00224C1B" w:rsidRDefault="00DB28EC" w:rsidP="00224C1B">
            <w:pPr>
              <w:spacing w:before="0" w:after="0"/>
              <w:jc w:val="center"/>
              <w:rPr>
                <w:b w:val="0"/>
                <w:bCs w:val="0"/>
                <w:lang w:val="lv-LV"/>
              </w:rPr>
            </w:pPr>
            <w:r w:rsidRPr="00224C1B">
              <w:rPr>
                <w:b w:val="0"/>
                <w:bCs w:val="0"/>
                <w:lang w:val="lv-LV"/>
              </w:rPr>
              <w:t>1 499</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D" w14:textId="77777777" w:rsidR="007F09CB" w:rsidRPr="00224C1B" w:rsidRDefault="00DB28EC" w:rsidP="00224C1B">
            <w:pPr>
              <w:spacing w:before="0" w:after="0"/>
              <w:jc w:val="center"/>
              <w:rPr>
                <w:b w:val="0"/>
                <w:bCs w:val="0"/>
                <w:lang w:val="lv-LV"/>
              </w:rPr>
            </w:pPr>
            <w:r w:rsidRPr="00224C1B">
              <w:rPr>
                <w:b w:val="0"/>
                <w:bCs w:val="0"/>
                <w:lang w:val="lv-LV"/>
              </w:rPr>
              <w:t>29 171</w:t>
            </w:r>
          </w:p>
        </w:tc>
      </w:tr>
      <w:tr w:rsidR="007F09CB" w:rsidRPr="0053072A" w14:paraId="552CD0FC" w14:textId="77777777">
        <w:trPr>
          <w:trHeight w:val="20"/>
        </w:trPr>
        <w:tc>
          <w:tcPr>
            <w:tcW w:w="2240"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E" w14:textId="77777777" w:rsidR="007F09CB" w:rsidRPr="00224C1B" w:rsidRDefault="00DB28EC" w:rsidP="00224C1B">
            <w:pPr>
              <w:spacing w:before="0" w:after="0"/>
              <w:jc w:val="left"/>
              <w:rPr>
                <w:b w:val="0"/>
                <w:bCs w:val="0"/>
                <w:lang w:val="lv-LV"/>
              </w:rPr>
            </w:pPr>
            <w:r w:rsidRPr="00224C1B">
              <w:rPr>
                <w:b w:val="0"/>
                <w:bCs w:val="0"/>
                <w:lang w:val="lv-LV"/>
              </w:rPr>
              <w:t>Grāmatvedis</w:t>
            </w:r>
          </w:p>
        </w:tc>
        <w:tc>
          <w:tcPr>
            <w:tcW w:w="5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EF" w14:textId="77777777" w:rsidR="007F09CB" w:rsidRPr="00224C1B" w:rsidRDefault="00DB28EC" w:rsidP="00224C1B">
            <w:pPr>
              <w:spacing w:before="0" w:after="0"/>
              <w:jc w:val="center"/>
              <w:rPr>
                <w:b w:val="0"/>
                <w:bCs w:val="0"/>
                <w:lang w:val="lv-LV"/>
              </w:rPr>
            </w:pPr>
            <w:r w:rsidRPr="00224C1B">
              <w:rPr>
                <w:b w:val="0"/>
                <w:bCs w:val="0"/>
                <w:lang w:val="lv-LV"/>
              </w:rPr>
              <w:t>10</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0" w14:textId="77777777" w:rsidR="007F09CB" w:rsidRPr="00224C1B" w:rsidRDefault="00DB28EC" w:rsidP="00224C1B">
            <w:pPr>
              <w:spacing w:before="0" w:after="0"/>
              <w:jc w:val="center"/>
              <w:rPr>
                <w:b w:val="0"/>
                <w:bCs w:val="0"/>
                <w:lang w:val="lv-LV"/>
              </w:rPr>
            </w:pPr>
            <w:r w:rsidRPr="00224C1B">
              <w:rPr>
                <w:b w:val="0"/>
                <w:bCs w:val="0"/>
                <w:lang w:val="lv-LV"/>
              </w:rPr>
              <w:t>Pilna laika</w:t>
            </w: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1" w14:textId="77777777" w:rsidR="007F09CB" w:rsidRPr="00224C1B" w:rsidRDefault="00DB28EC" w:rsidP="00224C1B">
            <w:pPr>
              <w:spacing w:before="0" w:after="0"/>
              <w:jc w:val="center"/>
              <w:rPr>
                <w:b w:val="0"/>
                <w:bCs w:val="0"/>
                <w:lang w:val="lv-LV"/>
              </w:rPr>
            </w:pPr>
            <w:r w:rsidRPr="00224C1B">
              <w:rPr>
                <w:b w:val="0"/>
                <w:bCs w:val="0"/>
                <w:lang w:val="lv-LV"/>
              </w:rPr>
              <w:t>2 211</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2" w14:textId="77777777" w:rsidR="007F09CB" w:rsidRPr="00224C1B" w:rsidRDefault="00DB28EC" w:rsidP="00224C1B">
            <w:pPr>
              <w:spacing w:before="0" w:after="0"/>
              <w:jc w:val="center"/>
              <w:rPr>
                <w:b w:val="0"/>
                <w:bCs w:val="0"/>
                <w:lang w:val="lv-LV"/>
              </w:rPr>
            </w:pPr>
            <w:r w:rsidRPr="00224C1B">
              <w:rPr>
                <w:b w:val="0"/>
                <w:bCs w:val="0"/>
                <w:lang w:val="lv-LV"/>
              </w:rPr>
              <w:t>1 437</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3" w14:textId="77777777" w:rsidR="007F09CB" w:rsidRPr="00224C1B" w:rsidRDefault="00DB28EC" w:rsidP="00224C1B">
            <w:pPr>
              <w:spacing w:before="0" w:after="0"/>
              <w:jc w:val="center"/>
              <w:rPr>
                <w:b w:val="0"/>
                <w:bCs w:val="0"/>
                <w:lang w:val="lv-LV"/>
              </w:rPr>
            </w:pPr>
            <w:r w:rsidRPr="00224C1B">
              <w:rPr>
                <w:b w:val="0"/>
                <w:bCs w:val="0"/>
                <w:lang w:val="lv-LV"/>
              </w:rPr>
              <w:t>27 969</w:t>
            </w:r>
          </w:p>
        </w:tc>
      </w:tr>
      <w:tr w:rsidR="007F09CB" w:rsidRPr="0053072A" w14:paraId="335A2AB1" w14:textId="77777777">
        <w:trPr>
          <w:trHeight w:val="20"/>
        </w:trPr>
        <w:tc>
          <w:tcPr>
            <w:tcW w:w="2780" w:type="dxa"/>
            <w:gridSpan w:val="2"/>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1F4" w14:textId="77777777" w:rsidR="007F09CB" w:rsidRPr="00224C1B" w:rsidRDefault="00DB28EC" w:rsidP="00224C1B">
            <w:pPr>
              <w:spacing w:before="0" w:after="0"/>
              <w:rPr>
                <w:b w:val="0"/>
                <w:bCs w:val="0"/>
                <w:lang w:val="lv-LV"/>
              </w:rPr>
            </w:pPr>
            <w:r w:rsidRPr="00224C1B">
              <w:rPr>
                <w:b w:val="0"/>
                <w:bCs w:val="0"/>
                <w:lang w:val="lv-LV"/>
              </w:rPr>
              <w:t>Atalgojums ar piemaksām</w:t>
            </w:r>
          </w:p>
        </w:tc>
        <w:tc>
          <w:tcPr>
            <w:tcW w:w="14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1F6" w14:textId="77777777" w:rsidR="007F09CB" w:rsidRPr="00224C1B" w:rsidRDefault="007F09CB" w:rsidP="00224C1B">
            <w:pPr>
              <w:spacing w:before="0" w:after="0"/>
              <w:rPr>
                <w:b w:val="0"/>
                <w:bCs w:val="0"/>
                <w:lang w:val="lv-LV"/>
              </w:rPr>
            </w:pPr>
          </w:p>
        </w:tc>
        <w:tc>
          <w:tcPr>
            <w:tcW w:w="162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7" w14:textId="77777777" w:rsidR="007F09CB" w:rsidRPr="00224C1B" w:rsidRDefault="00DB28EC" w:rsidP="00224C1B">
            <w:pPr>
              <w:spacing w:before="0" w:after="0"/>
              <w:jc w:val="center"/>
              <w:rPr>
                <w:b w:val="0"/>
                <w:bCs w:val="0"/>
                <w:lang w:val="lv-LV"/>
              </w:rPr>
            </w:pPr>
            <w:r w:rsidRPr="00224C1B">
              <w:rPr>
                <w:b w:val="0"/>
                <w:bCs w:val="0"/>
                <w:lang w:val="lv-LV"/>
              </w:rPr>
              <w:t>20 900</w:t>
            </w:r>
          </w:p>
        </w:tc>
        <w:tc>
          <w:tcPr>
            <w:tcW w:w="234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8" w14:textId="77777777" w:rsidR="007F09CB" w:rsidRPr="00224C1B" w:rsidRDefault="00DB28EC" w:rsidP="00224C1B">
            <w:pPr>
              <w:spacing w:before="0" w:after="0"/>
              <w:jc w:val="center"/>
              <w:rPr>
                <w:b w:val="0"/>
                <w:bCs w:val="0"/>
                <w:lang w:val="lv-LV"/>
              </w:rPr>
            </w:pPr>
            <w:r w:rsidRPr="00224C1B">
              <w:rPr>
                <w:b w:val="0"/>
                <w:bCs w:val="0"/>
                <w:lang w:val="lv-LV"/>
              </w:rPr>
              <w:t>13 585</w:t>
            </w:r>
          </w:p>
        </w:tc>
        <w:tc>
          <w:tcPr>
            <w:tcW w:w="1270"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vAlign w:val="center"/>
          </w:tcPr>
          <w:p w14:paraId="000001F9" w14:textId="77777777" w:rsidR="007F09CB" w:rsidRPr="00224C1B" w:rsidRDefault="00DB28EC" w:rsidP="00224C1B">
            <w:pPr>
              <w:spacing w:before="0" w:after="0"/>
              <w:jc w:val="center"/>
              <w:rPr>
                <w:b w:val="0"/>
                <w:bCs w:val="0"/>
                <w:lang w:val="lv-LV"/>
              </w:rPr>
            </w:pPr>
            <w:r w:rsidRPr="00224C1B">
              <w:rPr>
                <w:b w:val="0"/>
                <w:bCs w:val="0"/>
                <w:lang w:val="lv-LV"/>
              </w:rPr>
              <w:t>264 385</w:t>
            </w:r>
          </w:p>
        </w:tc>
      </w:tr>
    </w:tbl>
    <w:p w14:paraId="000001FA" w14:textId="77777777" w:rsidR="007F09CB" w:rsidRPr="0053072A" w:rsidRDefault="00DB28EC" w:rsidP="00224C1B">
      <w:pPr>
        <w:pStyle w:val="Bottomcaption"/>
        <w:framePr w:wrap="around"/>
        <w:rPr>
          <w:lang w:val="lv-LV"/>
        </w:rPr>
      </w:pPr>
      <w:r w:rsidRPr="0053072A">
        <w:rPr>
          <w:lang w:val="lv-LV"/>
        </w:rPr>
        <w:t>Avots: pētījuma autoru aprēķini</w:t>
      </w:r>
    </w:p>
    <w:p w14:paraId="000001FB" w14:textId="77777777" w:rsidR="007F09CB" w:rsidRPr="0053072A" w:rsidRDefault="00DB28EC">
      <w:pPr>
        <w:rPr>
          <w:lang w:val="lv-LV"/>
        </w:rPr>
      </w:pPr>
      <w:r w:rsidRPr="0053072A">
        <w:rPr>
          <w:lang w:val="lv-LV"/>
        </w:rPr>
        <w:t>Līdz ar drošības rezervju iegādes valsts īpašumā uzsākšanu, sākot no 2024. gada tiek pievienotas 3 padomes locekļu amatu vietas (ņemot vērā, ka līdz ar attiecīgo gadu tiek sasniegtas Publiskas personas kapitāla daļu un kapitālsabiedrību pārvaldības likumā noteiktās prasības par padomes izveidi</w:t>
      </w:r>
      <w:r w:rsidRPr="0053072A">
        <w:rPr>
          <w:vertAlign w:val="superscript"/>
          <w:lang w:val="lv-LV"/>
        </w:rPr>
        <w:footnoteReference w:id="21"/>
      </w:r>
      <w:r w:rsidRPr="0053072A">
        <w:rPr>
          <w:lang w:val="lv-LV"/>
        </w:rPr>
        <w:t>) un analītiķa amata vieta. Turpmākajos gados aģentūras amatu vietu veids un skaits tiek prognozēts nemainīgs. Salīdzinot ar 2023. gadu, atalgojuma kopējās izmaksas pieaug par 42%, kas tiek pamatots ar augstāk minēto papildu amata vietu pievienošanu.</w:t>
      </w:r>
    </w:p>
    <w:p w14:paraId="000001FC" w14:textId="77777777" w:rsidR="007F09CB" w:rsidRPr="0053072A" w:rsidRDefault="00DB28EC">
      <w:pPr>
        <w:rPr>
          <w:lang w:val="lv-LV"/>
        </w:rPr>
      </w:pPr>
      <w:r w:rsidRPr="0053072A">
        <w:rPr>
          <w:lang w:val="lv-LV"/>
        </w:rPr>
        <w:t>Salīdzinot atalgojuma izmaksu īpatsvaru pret kopējām aģentūras izmaksām, vidēji atalgojuma izmaksas sastāda 1% no kopējām izmaksām (skatīt 10. attēlu), kas ir vērtējams kā salīdzinoši zems rādītājs, ņemot vērā, ka tiek nodrošināts pašreizējam atalgojuma līmenim atbilstošs atalgojums.</w:t>
      </w:r>
    </w:p>
    <w:p w14:paraId="000001FD" w14:textId="77777777" w:rsidR="007F09CB" w:rsidRPr="0053072A" w:rsidRDefault="00DB28EC" w:rsidP="00B42DAD">
      <w:pPr>
        <w:pStyle w:val="Caption"/>
        <w:framePr w:wrap="around"/>
        <w:rPr>
          <w:lang w:val="lv-LV"/>
        </w:rPr>
      </w:pPr>
      <w:r w:rsidRPr="0053072A">
        <w:rPr>
          <w:lang w:val="lv-LV"/>
        </w:rPr>
        <w:t>10. attēls. Aģentūras atalgojuma izmaksu īpatsvars pret kopējām izmaksām, 2023.-2029. gadā, %</w:t>
      </w:r>
    </w:p>
    <w:p w14:paraId="000001FE" w14:textId="77777777" w:rsidR="007F09CB" w:rsidRPr="0053072A" w:rsidRDefault="00DB28EC">
      <w:pPr>
        <w:rPr>
          <w:lang w:val="lv-LV"/>
        </w:rPr>
      </w:pPr>
      <w:r w:rsidRPr="0053072A">
        <w:rPr>
          <w:noProof/>
          <w:lang w:val="lv-LV"/>
        </w:rPr>
        <w:drawing>
          <wp:inline distT="114300" distB="114300" distL="114300" distR="114300" wp14:anchorId="7EFC26B5" wp14:editId="2A65F168">
            <wp:extent cx="5996630" cy="3136900"/>
            <wp:effectExtent l="0" t="0" r="0" b="0"/>
            <wp:docPr id="137"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2"/>
                    <a:srcRect/>
                    <a:stretch>
                      <a:fillRect/>
                    </a:stretch>
                  </pic:blipFill>
                  <pic:spPr>
                    <a:xfrm>
                      <a:off x="0" y="0"/>
                      <a:ext cx="5996630" cy="3136900"/>
                    </a:xfrm>
                    <a:prstGeom prst="rect">
                      <a:avLst/>
                    </a:prstGeom>
                    <a:ln/>
                  </pic:spPr>
                </pic:pic>
              </a:graphicData>
            </a:graphic>
          </wp:inline>
        </w:drawing>
      </w:r>
    </w:p>
    <w:p w14:paraId="000001FF" w14:textId="77777777" w:rsidR="007F09CB" w:rsidRPr="0053072A" w:rsidRDefault="00DB28EC" w:rsidP="00B42DAD">
      <w:pPr>
        <w:pStyle w:val="Bottomcaption"/>
        <w:framePr w:wrap="around"/>
        <w:rPr>
          <w:lang w:val="lv-LV"/>
        </w:rPr>
      </w:pPr>
      <w:r w:rsidRPr="0053072A">
        <w:rPr>
          <w:lang w:val="lv-LV"/>
        </w:rPr>
        <w:t>Avots: pētījuma autoru aprēķini</w:t>
      </w:r>
    </w:p>
    <w:p w14:paraId="00000200" w14:textId="77777777" w:rsidR="007F09CB" w:rsidRPr="0053072A" w:rsidRDefault="00DB28EC">
      <w:pPr>
        <w:rPr>
          <w:lang w:val="lv-LV"/>
        </w:rPr>
      </w:pPr>
      <w:r w:rsidRPr="0053072A">
        <w:rPr>
          <w:lang w:val="lv-LV"/>
        </w:rPr>
        <w:t>Iemesls, kādēļ atalgojuma izmaksas sastāda salīdzinoši nelielu daļu no kopējām aģentūras izmaksām, ir saistīts ar to, ka aģentūra iegādājas drošības rezerves, kas saistās ar augstām izmaksām. Īpatsvara samazinājums sākot no 2024. gada ir skaidrojams ar to, ka nākamajos gados palielinās drošības rezervju iegādei paredzamā aizņēmuma ikmēneša maksājums, ņemot vērā, ka katru gadu, no 2024. gada līdz 2028. gadam, valsts īpašumā tiek iegādāti 20% no kopējām nepieciešamajām drošības rezervēm.</w:t>
      </w:r>
    </w:p>
    <w:p w14:paraId="00000201" w14:textId="77777777" w:rsidR="007F09CB" w:rsidRPr="0053072A" w:rsidRDefault="00DB28EC">
      <w:pPr>
        <w:pStyle w:val="Heading2"/>
        <w:numPr>
          <w:ilvl w:val="1"/>
          <w:numId w:val="10"/>
        </w:numPr>
        <w:ind w:left="0" w:firstLine="0"/>
        <w:rPr>
          <w:lang w:val="lv-LV"/>
        </w:rPr>
      </w:pPr>
      <w:bookmarkStart w:id="18" w:name="_Toc98774217"/>
      <w:r w:rsidRPr="0053072A">
        <w:rPr>
          <w:lang w:val="lv-LV"/>
        </w:rPr>
        <w:lastRenderedPageBreak/>
        <w:t>Finansēšanas avoti</w:t>
      </w:r>
      <w:bookmarkEnd w:id="18"/>
    </w:p>
    <w:p w14:paraId="00000202" w14:textId="77777777" w:rsidR="007F09CB" w:rsidRPr="0053072A" w:rsidRDefault="00DB28EC">
      <w:pPr>
        <w:rPr>
          <w:highlight w:val="yellow"/>
          <w:lang w:val="lv-LV"/>
        </w:rPr>
      </w:pPr>
      <w:r w:rsidRPr="0053072A">
        <w:rPr>
          <w:lang w:val="lv-LV"/>
        </w:rPr>
        <w:t xml:space="preserve">Tiek prognozēts, ka drošības rezervju iegādei ir nepieciešami salīdzinoši lieli finanšu resursi – kopumā 268,62 milj. EUR laika periodā no 2024. līdz 2028. gadam (skatīt 11. attēlu). </w:t>
      </w:r>
    </w:p>
    <w:p w14:paraId="00000203" w14:textId="77777777" w:rsidR="007F09CB" w:rsidRPr="0053072A" w:rsidRDefault="00DB28EC" w:rsidP="00B42DAD">
      <w:pPr>
        <w:pStyle w:val="Caption"/>
        <w:framePr w:wrap="around"/>
        <w:rPr>
          <w:lang w:val="lv-LV"/>
        </w:rPr>
      </w:pPr>
      <w:r w:rsidRPr="0053072A">
        <w:rPr>
          <w:lang w:val="lv-LV"/>
        </w:rPr>
        <w:t>11. attēls. Drošības rezervju iegādes izmaksas, 2024.-2028. gadā, milj. EUR</w:t>
      </w:r>
    </w:p>
    <w:p w14:paraId="00000204" w14:textId="77777777" w:rsidR="007F09CB" w:rsidRPr="0053072A" w:rsidRDefault="00DB28EC">
      <w:pPr>
        <w:rPr>
          <w:lang w:val="lv-LV"/>
        </w:rPr>
      </w:pPr>
      <w:r w:rsidRPr="0053072A">
        <w:rPr>
          <w:noProof/>
          <w:lang w:val="lv-LV"/>
        </w:rPr>
        <w:drawing>
          <wp:inline distT="0" distB="0" distL="0" distR="0" wp14:anchorId="23EADBCE" wp14:editId="03FF2A15">
            <wp:extent cx="5962913" cy="2978106"/>
            <wp:effectExtent l="0" t="0" r="0" b="0"/>
            <wp:docPr id="138"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23"/>
                    <a:srcRect/>
                    <a:stretch>
                      <a:fillRect/>
                    </a:stretch>
                  </pic:blipFill>
                  <pic:spPr>
                    <a:xfrm>
                      <a:off x="0" y="0"/>
                      <a:ext cx="5962913" cy="2978106"/>
                    </a:xfrm>
                    <a:prstGeom prst="rect">
                      <a:avLst/>
                    </a:prstGeom>
                    <a:ln/>
                  </pic:spPr>
                </pic:pic>
              </a:graphicData>
            </a:graphic>
          </wp:inline>
        </w:drawing>
      </w:r>
    </w:p>
    <w:p w14:paraId="00000205" w14:textId="77777777" w:rsidR="007F09CB" w:rsidRPr="0053072A" w:rsidRDefault="00DB28EC" w:rsidP="00B42DAD">
      <w:pPr>
        <w:pStyle w:val="Bottomcaption"/>
        <w:framePr w:wrap="around"/>
        <w:rPr>
          <w:lang w:val="lv-LV"/>
        </w:rPr>
      </w:pPr>
      <w:r w:rsidRPr="0053072A">
        <w:rPr>
          <w:lang w:val="lv-LV"/>
        </w:rPr>
        <w:t>Avots: pētījuma autoru aprēķini</w:t>
      </w:r>
    </w:p>
    <w:p w14:paraId="00000206" w14:textId="77777777" w:rsidR="007F09CB" w:rsidRPr="0053072A" w:rsidRDefault="00DB28EC">
      <w:pPr>
        <w:rPr>
          <w:lang w:val="lv-LV"/>
        </w:rPr>
      </w:pPr>
      <w:r w:rsidRPr="0053072A">
        <w:rPr>
          <w:lang w:val="lv-LV"/>
        </w:rPr>
        <w:t>Kā redzams 11. attēlā, tad sākot no 2024. gada, katru gadu iegādājoties 20% no kopējām nepieciešamajām drošības rezervēm valsts īpašumā, un, iegādi veicot par vidējo prognozēto naftas produktu cenu, 5 gadu laikā būtu nepieciešami 268,62 milj. EUR. Lai gan ir pieejami dažādi finansēšanas iespēju aspekti, balstoties uz pētījuma laikā veikto izvērtējumu, kā pamata variants drošības rezervju iegādei šādā apjoma, tiek paredzēts izmantot aizņēmumu ar 10 gadu termiņu, lai izvairītos no pārlieku lielas valsts nodevas celšanas, kas savukārt var novest arī pie degvielas cenu līmeņa celšanās. Aizņēmuma izmaksas paredzēts segt no valsts nodevas ieņēmumiem un daļēji no potenciāliem rotācijas rezultātā gūtajiem ieņēmumiem (šajā gadījumā gan nav faktiski paredzams iespējamais ieņēmumu/zaudējumu apjoms). Divi citi finansēšanas aspekti (līdzfinansējums no valsts budžeta un aizņēmuma refinansēšana) īsumā tiek skatīti tālāk šīs nodaļas ietvaros. Svarīgi ņemt vērā, ka šie aspekti nav savstarpēji izslēdzoši un, pie noteiktu nosacījumu izpildes, var tikt izmantoti līdzās viens otram.</w:t>
      </w:r>
    </w:p>
    <w:p w14:paraId="00000207" w14:textId="77777777" w:rsidR="007F09CB" w:rsidRPr="0053072A" w:rsidRDefault="00DB28EC">
      <w:pPr>
        <w:rPr>
          <w:lang w:val="lv-LV"/>
        </w:rPr>
      </w:pPr>
      <w:r w:rsidRPr="0053072A">
        <w:rPr>
          <w:lang w:val="lv-LV"/>
        </w:rPr>
        <w:t>Tiek prognozēts, ka 2024. gadā daļu no aizņēmuma apjoma (20,27 milj. EUR) tiek plānots segt no 2023. un 2024. gadā uzkrātajiem valsts nodevas ieņēmumiem. Savukārt aizdevuma apmaksas summu laika periodā no 2024.-2037. gadam var skatīt 12. attēlā.</w:t>
      </w:r>
    </w:p>
    <w:p w14:paraId="00000208" w14:textId="77777777" w:rsidR="007F09CB" w:rsidRPr="0053072A" w:rsidRDefault="007F09CB">
      <w:pPr>
        <w:rPr>
          <w:lang w:val="lv-LV"/>
        </w:rPr>
      </w:pPr>
    </w:p>
    <w:p w14:paraId="00000209" w14:textId="77777777" w:rsidR="007F09CB" w:rsidRPr="0053072A" w:rsidRDefault="007F09CB">
      <w:pPr>
        <w:rPr>
          <w:lang w:val="lv-LV"/>
        </w:rPr>
      </w:pPr>
    </w:p>
    <w:p w14:paraId="0000020A" w14:textId="77777777" w:rsidR="007F09CB" w:rsidRPr="0053072A" w:rsidRDefault="007F09CB">
      <w:pPr>
        <w:rPr>
          <w:lang w:val="lv-LV"/>
        </w:rPr>
      </w:pPr>
    </w:p>
    <w:p w14:paraId="0000020B" w14:textId="77777777" w:rsidR="007F09CB" w:rsidRPr="0053072A" w:rsidRDefault="007F09CB">
      <w:pPr>
        <w:rPr>
          <w:lang w:val="lv-LV"/>
        </w:rPr>
      </w:pPr>
    </w:p>
    <w:p w14:paraId="0000020C" w14:textId="77777777" w:rsidR="007F09CB" w:rsidRPr="0053072A" w:rsidRDefault="007F09CB">
      <w:pPr>
        <w:rPr>
          <w:lang w:val="lv-LV"/>
        </w:rPr>
      </w:pPr>
    </w:p>
    <w:p w14:paraId="0000020D" w14:textId="77777777" w:rsidR="007F09CB" w:rsidRPr="0053072A" w:rsidRDefault="007F09CB">
      <w:pPr>
        <w:rPr>
          <w:lang w:val="lv-LV"/>
        </w:rPr>
      </w:pPr>
    </w:p>
    <w:p w14:paraId="0000020E" w14:textId="77777777" w:rsidR="007F09CB" w:rsidRPr="0053072A" w:rsidRDefault="007F09CB">
      <w:pPr>
        <w:rPr>
          <w:lang w:val="lv-LV"/>
        </w:rPr>
      </w:pPr>
    </w:p>
    <w:p w14:paraId="0000020F" w14:textId="77777777" w:rsidR="007F09CB" w:rsidRPr="0053072A" w:rsidRDefault="007F09CB">
      <w:pPr>
        <w:rPr>
          <w:lang w:val="lv-LV"/>
        </w:rPr>
      </w:pPr>
    </w:p>
    <w:p w14:paraId="00000210" w14:textId="77777777" w:rsidR="007F09CB" w:rsidRPr="0053072A" w:rsidRDefault="007F09CB">
      <w:pPr>
        <w:rPr>
          <w:highlight w:val="yellow"/>
          <w:lang w:val="lv-LV"/>
        </w:rPr>
      </w:pPr>
    </w:p>
    <w:p w14:paraId="00000211" w14:textId="77777777" w:rsidR="007F09CB" w:rsidRPr="0053072A" w:rsidRDefault="00DB28EC" w:rsidP="00B42DAD">
      <w:pPr>
        <w:pStyle w:val="Caption"/>
        <w:framePr w:wrap="around"/>
        <w:rPr>
          <w:lang w:val="lv-LV"/>
        </w:rPr>
      </w:pPr>
      <w:r w:rsidRPr="0053072A">
        <w:rPr>
          <w:lang w:val="lv-LV"/>
        </w:rPr>
        <w:t>12. attēls. Ikgadējā aizdevuma apmaksas summa, 2024.-2037. gadā, milj. EUR</w:t>
      </w:r>
    </w:p>
    <w:p w14:paraId="00000212" w14:textId="77777777" w:rsidR="007F09CB" w:rsidRPr="0053072A" w:rsidRDefault="00DB28EC">
      <w:pPr>
        <w:keepNext/>
        <w:keepLines/>
        <w:rPr>
          <w:lang w:val="lv-LV"/>
        </w:rPr>
      </w:pPr>
      <w:r w:rsidRPr="0053072A">
        <w:rPr>
          <w:noProof/>
          <w:lang w:val="lv-LV"/>
        </w:rPr>
        <w:drawing>
          <wp:inline distT="0" distB="0" distL="0" distR="0" wp14:anchorId="6EFE1C9A" wp14:editId="259C29E5">
            <wp:extent cx="6006356" cy="2347098"/>
            <wp:effectExtent l="0" t="0" r="0" b="0"/>
            <wp:docPr id="139"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24"/>
                    <a:srcRect/>
                    <a:stretch>
                      <a:fillRect/>
                    </a:stretch>
                  </pic:blipFill>
                  <pic:spPr>
                    <a:xfrm>
                      <a:off x="0" y="0"/>
                      <a:ext cx="6006356" cy="2347098"/>
                    </a:xfrm>
                    <a:prstGeom prst="rect">
                      <a:avLst/>
                    </a:prstGeom>
                    <a:ln/>
                  </pic:spPr>
                </pic:pic>
              </a:graphicData>
            </a:graphic>
          </wp:inline>
        </w:drawing>
      </w:r>
    </w:p>
    <w:p w14:paraId="00000213" w14:textId="77777777" w:rsidR="007F09CB" w:rsidRPr="0053072A" w:rsidRDefault="00DB28EC" w:rsidP="00B42DAD">
      <w:pPr>
        <w:pStyle w:val="Bottomcaption"/>
        <w:framePr w:wrap="around"/>
        <w:rPr>
          <w:lang w:val="lv-LV"/>
        </w:rPr>
      </w:pPr>
      <w:r w:rsidRPr="0053072A">
        <w:rPr>
          <w:lang w:val="lv-LV"/>
        </w:rPr>
        <w:t>Avots: pētījuma autoru aprēķini</w:t>
      </w:r>
    </w:p>
    <w:p w14:paraId="00000214" w14:textId="77777777" w:rsidR="007F09CB" w:rsidRPr="0053072A" w:rsidRDefault="00DB28EC">
      <w:pPr>
        <w:rPr>
          <w:b/>
          <w:highlight w:val="yellow"/>
          <w:lang w:val="lv-LV"/>
        </w:rPr>
      </w:pPr>
      <w:r w:rsidRPr="0053072A">
        <w:rPr>
          <w:lang w:val="lv-LV"/>
        </w:rPr>
        <w:t>Līdz ar izmaksu palielinājumu, kas saistīts ar drošības rezervju iegādi, no 2027. gada finanšu aprēķina ietvaros tiek paredzēts palielināt esošo valsts nodevas likmi par 20% (paredzētās valsts nodevas likmes analizētajam laika periodam skatīt 13. attēlā). Šādā veidā tiek palielināta summa, ko var segt ieņēmumi no valsts nodevas, līdz ar to samazināta izmaksu daļa, ko nepieciešams segt no potenciāliem ieņēmumiem no drošības rezervju rotācijas. Šāds risinājums ieņēmumu prognozēšanas ziņā ir vērtējams kā finansiāli drošāks, jo ieņēmumus no valsts nodevas ir iespējams prognozēt ievērojami precīzāk nekā potenciālos ieņēmumus no drošības rezervju rotācijas.</w:t>
      </w:r>
    </w:p>
    <w:p w14:paraId="00000215" w14:textId="77777777" w:rsidR="007F09CB" w:rsidRPr="0053072A" w:rsidRDefault="00DB28EC" w:rsidP="00B42DAD">
      <w:pPr>
        <w:pStyle w:val="Caption"/>
        <w:framePr w:wrap="around"/>
        <w:rPr>
          <w:lang w:val="lv-LV"/>
        </w:rPr>
      </w:pPr>
      <w:r w:rsidRPr="0053072A">
        <w:rPr>
          <w:lang w:val="lv-LV"/>
        </w:rPr>
        <w:t>13. attēls. Prognozētā valsts nodevas likme, 2023.-2029. gadam, EUR/T</w:t>
      </w:r>
    </w:p>
    <w:p w14:paraId="00000216" w14:textId="77777777" w:rsidR="007F09CB" w:rsidRPr="0053072A" w:rsidRDefault="00DB28EC">
      <w:pPr>
        <w:rPr>
          <w:lang w:val="lv-LV"/>
        </w:rPr>
      </w:pPr>
      <w:r w:rsidRPr="0053072A">
        <w:rPr>
          <w:noProof/>
          <w:lang w:val="lv-LV"/>
        </w:rPr>
        <w:drawing>
          <wp:inline distT="0" distB="0" distL="0" distR="0" wp14:anchorId="73000A09" wp14:editId="638DDEEC">
            <wp:extent cx="5983220" cy="1886646"/>
            <wp:effectExtent l="0" t="0" r="0" b="0"/>
            <wp:docPr id="14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5"/>
                    <a:srcRect/>
                    <a:stretch>
                      <a:fillRect/>
                    </a:stretch>
                  </pic:blipFill>
                  <pic:spPr>
                    <a:xfrm>
                      <a:off x="0" y="0"/>
                      <a:ext cx="5983220" cy="1886646"/>
                    </a:xfrm>
                    <a:prstGeom prst="rect">
                      <a:avLst/>
                    </a:prstGeom>
                    <a:ln/>
                  </pic:spPr>
                </pic:pic>
              </a:graphicData>
            </a:graphic>
          </wp:inline>
        </w:drawing>
      </w:r>
    </w:p>
    <w:p w14:paraId="00000217" w14:textId="77777777" w:rsidR="007F09CB" w:rsidRPr="0053072A" w:rsidRDefault="00DB28EC" w:rsidP="00B42DAD">
      <w:pPr>
        <w:pStyle w:val="Bottomcaption"/>
        <w:framePr w:wrap="around"/>
        <w:rPr>
          <w:lang w:val="lv-LV"/>
        </w:rPr>
      </w:pPr>
      <w:r w:rsidRPr="0053072A">
        <w:rPr>
          <w:lang w:val="lv-LV"/>
        </w:rPr>
        <w:t>Avots: pētījuma autoru aprēķini</w:t>
      </w:r>
    </w:p>
    <w:p w14:paraId="00000218" w14:textId="77777777" w:rsidR="007F09CB" w:rsidRPr="0053072A" w:rsidRDefault="00DB28EC">
      <w:pPr>
        <w:rPr>
          <w:lang w:val="lv-LV"/>
        </w:rPr>
      </w:pPr>
      <w:r w:rsidRPr="0053072A">
        <w:rPr>
          <w:lang w:val="lv-LV"/>
        </w:rPr>
        <w:t>Līdz ar pieņēmumu veikšanu saistībā ar valsts nodevas plānotajām likmēm, var salīdzināt prognozētās aģentūras izmaksas ar ieņēmumiem no valsts nodevas (skatīt 14. attēlu).</w:t>
      </w:r>
    </w:p>
    <w:p w14:paraId="00000219" w14:textId="77777777" w:rsidR="007F09CB" w:rsidRPr="0053072A" w:rsidRDefault="007F09CB">
      <w:pPr>
        <w:rPr>
          <w:lang w:val="lv-LV"/>
        </w:rPr>
      </w:pPr>
    </w:p>
    <w:p w14:paraId="0000021A" w14:textId="77777777" w:rsidR="007F09CB" w:rsidRPr="0053072A" w:rsidRDefault="007F09CB">
      <w:pPr>
        <w:rPr>
          <w:lang w:val="lv-LV"/>
        </w:rPr>
      </w:pPr>
    </w:p>
    <w:p w14:paraId="0000021B" w14:textId="77777777" w:rsidR="007F09CB" w:rsidRPr="0053072A" w:rsidRDefault="007F09CB">
      <w:pPr>
        <w:rPr>
          <w:lang w:val="lv-LV"/>
        </w:rPr>
      </w:pPr>
    </w:p>
    <w:p w14:paraId="0000021C" w14:textId="77777777" w:rsidR="007F09CB" w:rsidRPr="0053072A" w:rsidRDefault="007F09CB">
      <w:pPr>
        <w:rPr>
          <w:lang w:val="lv-LV"/>
        </w:rPr>
      </w:pPr>
    </w:p>
    <w:p w14:paraId="0000021D" w14:textId="77777777" w:rsidR="007F09CB" w:rsidRPr="0053072A" w:rsidRDefault="00DB28EC" w:rsidP="00B42DAD">
      <w:pPr>
        <w:pStyle w:val="Caption"/>
        <w:framePr w:wrap="around"/>
        <w:rPr>
          <w:lang w:val="lv-LV"/>
        </w:rPr>
      </w:pPr>
      <w:r w:rsidRPr="0053072A">
        <w:rPr>
          <w:lang w:val="lv-LV"/>
        </w:rPr>
        <w:t>14. attēls. Salīdzinājums starp ieņēmumiem no valsts nodevas un aģentūras kopējām izmaksām, 2023.-2029. gadam, milj. EUR</w:t>
      </w:r>
    </w:p>
    <w:p w14:paraId="0000021E" w14:textId="77777777" w:rsidR="007F09CB" w:rsidRPr="0053072A" w:rsidRDefault="00DB28EC">
      <w:pPr>
        <w:rPr>
          <w:lang w:val="lv-LV"/>
        </w:rPr>
      </w:pPr>
      <w:r w:rsidRPr="0053072A">
        <w:rPr>
          <w:noProof/>
          <w:lang w:val="lv-LV"/>
        </w:rPr>
        <w:drawing>
          <wp:inline distT="0" distB="0" distL="0" distR="0" wp14:anchorId="54ADF40D" wp14:editId="30787B47">
            <wp:extent cx="5979895" cy="3049896"/>
            <wp:effectExtent l="0" t="0" r="0" b="0"/>
            <wp:docPr id="141"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26"/>
                    <a:srcRect/>
                    <a:stretch>
                      <a:fillRect/>
                    </a:stretch>
                  </pic:blipFill>
                  <pic:spPr>
                    <a:xfrm>
                      <a:off x="0" y="0"/>
                      <a:ext cx="5979895" cy="3049896"/>
                    </a:xfrm>
                    <a:prstGeom prst="rect">
                      <a:avLst/>
                    </a:prstGeom>
                    <a:ln/>
                  </pic:spPr>
                </pic:pic>
              </a:graphicData>
            </a:graphic>
          </wp:inline>
        </w:drawing>
      </w:r>
    </w:p>
    <w:p w14:paraId="0000021F" w14:textId="77777777" w:rsidR="007F09CB" w:rsidRPr="0053072A" w:rsidRDefault="00DB28EC" w:rsidP="00B42DAD">
      <w:pPr>
        <w:pStyle w:val="Bottomcaption"/>
        <w:framePr w:wrap="around"/>
        <w:rPr>
          <w:lang w:val="lv-LV"/>
        </w:rPr>
      </w:pPr>
      <w:r w:rsidRPr="0053072A">
        <w:rPr>
          <w:lang w:val="lv-LV"/>
        </w:rPr>
        <w:t>Avots: pētījuma autoru aprēķini</w:t>
      </w:r>
    </w:p>
    <w:p w14:paraId="00000220" w14:textId="77777777" w:rsidR="007F09CB" w:rsidRPr="0053072A" w:rsidRDefault="00DB28EC">
      <w:pPr>
        <w:rPr>
          <w:lang w:val="lv-LV"/>
        </w:rPr>
      </w:pPr>
      <w:r w:rsidRPr="0053072A">
        <w:rPr>
          <w:lang w:val="lv-LV"/>
        </w:rPr>
        <w:t>Kā redzams, tad 2023. gadā prognozētie ieņēmumi no valsts nodevas pārsniedz aģentūras darbības izdevumus, šādā veidā potenciāli nodrošinot papildu uzkrāto finansējumu, ko iespējams novirzīt drošības rezervju iegādei nākamajiem gadiem. 2024. gada izdevumu paaugstinājums skaidrojams ar 2023. gada un tekošās 2024. gada peļņas novirzīšanu daļējai drošības rezervju iegādei. Šādā veidā pirmā aizņēmuma summa tiek samazināta no nepieciešamajiem 52,51 milj. EUR uz 32,23 milj. EUR. Šādā veidā tiek samazināts aizņēmuma pamatsummas un procentu maksājums nākamajos periodos.</w:t>
      </w:r>
    </w:p>
    <w:p w14:paraId="00000221" w14:textId="77777777" w:rsidR="007F09CB" w:rsidRPr="0053072A" w:rsidRDefault="00DB28EC">
      <w:pPr>
        <w:rPr>
          <w:lang w:val="lv-LV"/>
        </w:rPr>
      </w:pPr>
      <w:r w:rsidRPr="0053072A">
        <w:rPr>
          <w:lang w:val="lv-LV"/>
        </w:rPr>
        <w:t>2026. gadā tiek paredzēta situācija, ka aģentūras izmaksas pārsniegs ieņēmumus no valsts nodevas par 686,82 tūkst. EUR, ko potenciāli ir iespējams segt no rotācijas ieņēmumiem. Lielāka starpība starp aģentūras izmaksām un ieņēmumiem no valsts nodevas veidojas sākot ar 2028. gadu, kad šī atšķirība ir 4,36 milj. EUR un 10,26 milj. EUR 2029. gadā. Ņemot vērā, ka 2028. gadā drošības rezervju apjoms valsts īpašumā sasniedz 100% no kopējā drošības rezervju apjoma, un to, ka pieprasījuma prognoze ir ar negatīvu virzību, 2029. gadā daļu rezervju (pēc datiem no finanšu aprēķina – 3 040 t) būs iespējams pārdot kā pārpalikumu, to potenciāli realizējot par 2,89 milj. EUR (pārdodot šo apjomu par prognozēto 2029. gada vidējo naftas produktu cenu). Tomēr arī pēc šo līdzekļu novirzīšanas 2029. gadā paliek 7,37 milj. EUR, kas pārsniedz ieņēmumus no valsts nodevas, un kuru segšanai jāspēj novirzīt ieņēmumi no drošības rezervju rotācijas. Līdzīga situācija, kā 2029. gadā paredzama līdz pat 2033. gadam. Šīs izmaksu starpību pamatā rada tas, ka visu 5 secīgi ņemto aizņēmumu pamatsummas šajos gados ir jāapmaksā paralēli, līdz 2034. gadā tiek pilnībā apmaksāts pirmais aizdevums, kas radītu iespējas turpmākam izmaksu samazinājumam. Šajā gadījumā pastāv divas iespējas, lai segtu starpību no aģentūras izmaksām un valsts nodevas ieņēmumiem:</w:t>
      </w:r>
    </w:p>
    <w:p w14:paraId="00000222" w14:textId="77777777" w:rsidR="007F09CB" w:rsidRPr="0053072A" w:rsidRDefault="00DB28EC">
      <w:pPr>
        <w:numPr>
          <w:ilvl w:val="0"/>
          <w:numId w:val="5"/>
        </w:numPr>
        <w:rPr>
          <w:lang w:val="lv-LV"/>
        </w:rPr>
      </w:pPr>
      <w:r w:rsidRPr="0053072A">
        <w:rPr>
          <w:lang w:val="lv-LV"/>
        </w:rPr>
        <w:t>Segt izdevumu starpību no drošības rezervju rotācijas (šī iespēja tiek izvērtēta nākamajā nodaļā);</w:t>
      </w:r>
    </w:p>
    <w:p w14:paraId="00000223" w14:textId="77777777" w:rsidR="007F09CB" w:rsidRPr="0053072A" w:rsidRDefault="00DB28EC">
      <w:pPr>
        <w:numPr>
          <w:ilvl w:val="0"/>
          <w:numId w:val="5"/>
        </w:numPr>
        <w:rPr>
          <w:lang w:val="lv-LV"/>
        </w:rPr>
      </w:pPr>
      <w:r w:rsidRPr="0053072A">
        <w:rPr>
          <w:lang w:val="lv-LV"/>
        </w:rPr>
        <w:t>Palielināt valsts nodevas likmi;</w:t>
      </w:r>
    </w:p>
    <w:p w14:paraId="00000224" w14:textId="77777777" w:rsidR="007F09CB" w:rsidRPr="0053072A" w:rsidRDefault="00DB28EC">
      <w:pPr>
        <w:numPr>
          <w:ilvl w:val="0"/>
          <w:numId w:val="5"/>
        </w:numPr>
        <w:rPr>
          <w:lang w:val="lv-LV"/>
        </w:rPr>
      </w:pPr>
      <w:r w:rsidRPr="0053072A">
        <w:rPr>
          <w:lang w:val="lv-LV"/>
        </w:rPr>
        <w:t>Novirzīt valsts budžeta līdzekļus šim mērķim (ja tie ir pieejami un atbilst izdevumu formātam).</w:t>
      </w:r>
    </w:p>
    <w:p w14:paraId="00000225" w14:textId="77777777" w:rsidR="007F09CB" w:rsidRPr="0053072A" w:rsidRDefault="00DB28EC" w:rsidP="006337EC">
      <w:pPr>
        <w:pStyle w:val="Focus"/>
        <w:rPr>
          <w:lang w:val="lv-LV"/>
        </w:rPr>
      </w:pPr>
      <w:bookmarkStart w:id="19" w:name="_heading=h.i0y3mx65vctn" w:colFirst="0" w:colLast="0"/>
      <w:bookmarkEnd w:id="19"/>
      <w:r w:rsidRPr="0053072A">
        <w:rPr>
          <w:lang w:val="lv-LV"/>
        </w:rPr>
        <w:lastRenderedPageBreak/>
        <w:t>Valsts budžeta līdzekļu novirzīšana daļējai aģentūras izmaksu segšanai</w:t>
      </w:r>
    </w:p>
    <w:p w14:paraId="00000226" w14:textId="77777777" w:rsidR="007F09CB" w:rsidRPr="0053072A" w:rsidRDefault="00DB28EC">
      <w:pPr>
        <w:rPr>
          <w:lang w:val="lv-LV"/>
        </w:rPr>
      </w:pPr>
      <w:r w:rsidRPr="0053072A">
        <w:rPr>
          <w:lang w:val="lv-LV"/>
        </w:rPr>
        <w:t xml:space="preserve">Lai mazinātu riskus, kas saistīti ar drošības rezervju rotācijas ieņēmumu prognozi (nav iespējams ar augstu varbūtību prognozēt šo ieņēmumu ikgadējo apjomu), kā alternatīva ir aģentūras daļējai izmaksu segšanai piešķirt budžeta līdzekļus. Šādas alternatīvas īstenošana ir atkarīga no finanšu situācijas valstī konkrētajos pārskata, kā arī citiem faktoriem. </w:t>
      </w:r>
    </w:p>
    <w:p w14:paraId="00000227" w14:textId="77777777" w:rsidR="007F09CB" w:rsidRPr="0053072A" w:rsidRDefault="00DB28EC">
      <w:pPr>
        <w:rPr>
          <w:lang w:val="lv-LV"/>
        </w:rPr>
      </w:pPr>
      <w:r w:rsidRPr="00B42DAD">
        <w:rPr>
          <w:lang w:val="lv-LV"/>
        </w:rPr>
        <w:t>15. attēlā</w:t>
      </w:r>
      <w:r w:rsidRPr="0053072A">
        <w:rPr>
          <w:lang w:val="lv-LV"/>
        </w:rPr>
        <w:t xml:space="preserve"> norādītais ikgadējais valsts budžeta līdzekļu apjoms ir aprēķināts pie nosacījuma, ja valsts nodevas likme saglabājas esošajās robežās – 19,3 EUR/t, un no drošības rezervju rotācijas netiek gūti ieņēmumi. Lai segtu izmaksas, kuras nesedz valsts nodevas ieņēmumi, no 2026. līdz 2034. gadam valstij būtu nepieciešams kopumā novirzīt 90,85 milj. EUR no budžeta līdzekļiem. Pret kopējiem prognozētajiem 2022. gada valsts budžeta izdevumiem (12,44 miljardi EUR)</w:t>
      </w:r>
      <w:r w:rsidRPr="0053072A">
        <w:rPr>
          <w:vertAlign w:val="superscript"/>
          <w:lang w:val="lv-LV"/>
        </w:rPr>
        <w:footnoteReference w:id="22"/>
      </w:r>
      <w:r w:rsidRPr="0053072A">
        <w:rPr>
          <w:lang w:val="lv-LV"/>
        </w:rPr>
        <w:t>, vidējā no budžeta gadā izmaksājamā summa (10,09 milj. EUR) sastāda 0,08%. Paredzot šāda apjoma budžeta līdzekļu novirzīšanu daļējai izmaksu segšanai, tiek izslēgts risks attiecībā uz rotācijas operāciju spēju regulāri radīt papildu ieņēmumus un tiek nodrošināta finansiāli stabila aģentūras darbība.</w:t>
      </w:r>
    </w:p>
    <w:p w14:paraId="00000228" w14:textId="4CE052E7" w:rsidR="007F09CB" w:rsidRPr="0053072A" w:rsidRDefault="00DB28EC" w:rsidP="00B42DAD">
      <w:pPr>
        <w:pStyle w:val="Caption"/>
        <w:framePr w:wrap="around"/>
        <w:rPr>
          <w:lang w:val="lv-LV"/>
        </w:rPr>
      </w:pPr>
      <w:r w:rsidRPr="00B42DAD">
        <w:rPr>
          <w:lang w:val="lv-LV"/>
        </w:rPr>
        <w:t>15. attēls. Nepieciešamie papildu budžeta līdzekļi, 2026.-2034.</w:t>
      </w:r>
      <w:r w:rsidR="0011743F">
        <w:rPr>
          <w:lang w:val="lv-LV"/>
        </w:rPr>
        <w:t xml:space="preserve"> gads</w:t>
      </w:r>
      <w:r w:rsidRPr="00B42DAD">
        <w:rPr>
          <w:lang w:val="lv-LV"/>
        </w:rPr>
        <w:t>, milj. EUR</w:t>
      </w:r>
    </w:p>
    <w:p w14:paraId="00000229" w14:textId="21581AA6" w:rsidR="007F09CB" w:rsidRPr="0053072A" w:rsidRDefault="00407B42">
      <w:pPr>
        <w:rPr>
          <w:lang w:val="lv-LV"/>
        </w:rPr>
      </w:pPr>
      <w:r>
        <w:rPr>
          <w:noProof/>
          <w:lang w:val="lv-LV"/>
        </w:rPr>
        <w:drawing>
          <wp:inline distT="0" distB="0" distL="0" distR="0" wp14:anchorId="5A2EFEFC" wp14:editId="5BD78016">
            <wp:extent cx="5989381" cy="272005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3400" cy="2726418"/>
                    </a:xfrm>
                    <a:prstGeom prst="rect">
                      <a:avLst/>
                    </a:prstGeom>
                    <a:noFill/>
                  </pic:spPr>
                </pic:pic>
              </a:graphicData>
            </a:graphic>
          </wp:inline>
        </w:drawing>
      </w:r>
    </w:p>
    <w:p w14:paraId="0000022A" w14:textId="77777777" w:rsidR="007F09CB" w:rsidRPr="0053072A" w:rsidRDefault="00DB28EC" w:rsidP="00DF71FD">
      <w:pPr>
        <w:pStyle w:val="Bottomcaption"/>
        <w:framePr w:wrap="around"/>
        <w:rPr>
          <w:lang w:val="lv-LV"/>
        </w:rPr>
      </w:pPr>
      <w:r w:rsidRPr="0053072A">
        <w:rPr>
          <w:lang w:val="lv-LV"/>
        </w:rPr>
        <w:t>Avots: pētījuma autoru aprēķini</w:t>
      </w:r>
    </w:p>
    <w:p w14:paraId="0000022C" w14:textId="77777777" w:rsidR="007F09CB" w:rsidRPr="0053072A" w:rsidRDefault="00DB28EC">
      <w:pPr>
        <w:rPr>
          <w:lang w:val="lv-LV"/>
        </w:rPr>
      </w:pPr>
      <w:r w:rsidRPr="0053072A">
        <w:rPr>
          <w:lang w:val="lv-LV"/>
        </w:rPr>
        <w:t xml:space="preserve">Nepieciešamo budžeta līdzekļu prognozē 2030.-2034. gadam izmantoti dati no 2028. un 2029. gada prognozēm. Ņemot vērā, ka pēc OPEC naftas produktu pieprasījuma prognozes, OECD Eiropas dalībvalstīs tiek prognozēts pieprasījuma kritums vismaz līdz 2045. gadam </w:t>
      </w:r>
      <w:r w:rsidRPr="00B42DAD">
        <w:rPr>
          <w:lang w:val="lv-LV"/>
        </w:rPr>
        <w:t>(skatīt 6. attēlu),</w:t>
      </w:r>
      <w:r w:rsidRPr="0053072A">
        <w:rPr>
          <w:lang w:val="lv-LV"/>
        </w:rPr>
        <w:t xml:space="preserve"> tad šāda metode nerada risku, ka aprēķinātā summa no valsts budžeta varētu būt nepietiekama. </w:t>
      </w:r>
    </w:p>
    <w:p w14:paraId="0000022D" w14:textId="77777777" w:rsidR="007F09CB" w:rsidRPr="0053072A" w:rsidRDefault="00DB28EC">
      <w:pPr>
        <w:rPr>
          <w:lang w:val="lv-LV"/>
        </w:rPr>
      </w:pPr>
      <w:r w:rsidRPr="0053072A">
        <w:rPr>
          <w:lang w:val="lv-LV"/>
        </w:rPr>
        <w:t>Ja papildu nepieciešamo summu 90,85 milj. EUR apjomā segtu tikai no valsts nodevas ieņēmumiem, tad nodevu no 2026. līdz 2034. vidēji būtu nepieciešams palielināt par 44% pret bāzes likmi (kas aprēķinos tiek pieņemta kā 19,30 EUR/t). Lielākais pieaugums būtu veicams no 2029. līdz 2033. gadam – 57% (30,30 EUR/t) valsts nodevas pieaugums pret pašreiz pieņemto bāzes likmi. No valsts nodevas likmes celšanas būtu vēlams izvairīties, jo šāda valsts nodevas likmes palielināšana veicinātu arī degvielas cenu celšanos.</w:t>
      </w:r>
    </w:p>
    <w:p w14:paraId="0000022E" w14:textId="77777777" w:rsidR="007F09CB" w:rsidRPr="0053072A" w:rsidRDefault="007F09CB">
      <w:pPr>
        <w:rPr>
          <w:lang w:val="lv-LV"/>
        </w:rPr>
      </w:pPr>
    </w:p>
    <w:p w14:paraId="0000022F" w14:textId="77777777" w:rsidR="007F09CB" w:rsidRPr="0053072A" w:rsidRDefault="00DB28EC" w:rsidP="006337EC">
      <w:pPr>
        <w:pStyle w:val="Focus"/>
        <w:rPr>
          <w:lang w:val="lv-LV"/>
        </w:rPr>
      </w:pPr>
      <w:bookmarkStart w:id="20" w:name="_heading=h.2mt2u890t2la" w:colFirst="0" w:colLast="0"/>
      <w:bookmarkEnd w:id="20"/>
      <w:r w:rsidRPr="0053072A">
        <w:rPr>
          <w:lang w:val="lv-LV"/>
        </w:rPr>
        <w:lastRenderedPageBreak/>
        <w:t>Aizņēmuma termiņa pagarināšana</w:t>
      </w:r>
    </w:p>
    <w:p w14:paraId="00000230" w14:textId="77777777" w:rsidR="007F09CB" w:rsidRPr="0053072A" w:rsidRDefault="00DB28EC">
      <w:pPr>
        <w:rPr>
          <w:lang w:val="lv-LV"/>
        </w:rPr>
      </w:pPr>
      <w:r w:rsidRPr="0053072A">
        <w:rPr>
          <w:lang w:val="lv-LV"/>
        </w:rPr>
        <w:t>Kā papildus alternatīvu var skatīt aģentūras izmaksu samazināšanu konkrētos gados. Lielāko aģentūras izmaksu daļu gadā sastāda tieši drošības rezervju iegādei paredzēto aizņēmumu pamatsummas apmaksa. Šo pozīciju iespējams samazināt pagarinot aizņēmumu termiņu. Šajā gadījumā ir jāparedz nākotnes nenoteiktības risks, jo nav iespējams precīzi prognozēt, kādas makroekonomiskas, ģeopolitiskas vai ekoloģiskas izmaiņas ietekmēs pieprasījumu pēc naftas produktiem ilgtermiņā – pēc vairāk kā 10 gadiem.</w:t>
      </w:r>
    </w:p>
    <w:p w14:paraId="00000231" w14:textId="56D55892" w:rsidR="007F09CB" w:rsidRPr="0053072A" w:rsidRDefault="00DB28EC" w:rsidP="00DF71FD">
      <w:pPr>
        <w:pStyle w:val="Caption"/>
        <w:framePr w:wrap="around"/>
        <w:rPr>
          <w:lang w:val="lv-LV"/>
        </w:rPr>
      </w:pPr>
      <w:r w:rsidRPr="00DF71FD">
        <w:rPr>
          <w:lang w:val="lv-LV"/>
        </w:rPr>
        <w:t>1</w:t>
      </w:r>
      <w:r w:rsidR="00DF71FD" w:rsidRPr="00DF71FD">
        <w:rPr>
          <w:lang w:val="lv-LV"/>
        </w:rPr>
        <w:t>6</w:t>
      </w:r>
      <w:r w:rsidRPr="00DF71FD">
        <w:rPr>
          <w:lang w:val="lv-LV"/>
        </w:rPr>
        <w:t>. attēls.</w:t>
      </w:r>
      <w:r w:rsidRPr="0053072A">
        <w:rPr>
          <w:lang w:val="lv-LV"/>
        </w:rPr>
        <w:t xml:space="preserve"> nepieciešam</w:t>
      </w:r>
      <w:r w:rsidR="00A651B2">
        <w:rPr>
          <w:lang w:val="lv-LV"/>
        </w:rPr>
        <w:t>ais procentuālais</w:t>
      </w:r>
      <w:r w:rsidRPr="0053072A">
        <w:rPr>
          <w:lang w:val="lv-LV"/>
        </w:rPr>
        <w:t xml:space="preserve"> samazinā</w:t>
      </w:r>
      <w:r w:rsidR="00A651B2">
        <w:rPr>
          <w:lang w:val="lv-LV"/>
        </w:rPr>
        <w:t>jums</w:t>
      </w:r>
      <w:r w:rsidRPr="0053072A">
        <w:rPr>
          <w:lang w:val="lv-LV"/>
        </w:rPr>
        <w:t xml:space="preserve"> aizņēmumu pamatsummas ikgadēj</w:t>
      </w:r>
      <w:r w:rsidR="00A651B2">
        <w:rPr>
          <w:lang w:val="lv-LV"/>
        </w:rPr>
        <w:t>iem</w:t>
      </w:r>
      <w:r w:rsidRPr="0053072A">
        <w:rPr>
          <w:lang w:val="lv-LV"/>
        </w:rPr>
        <w:t xml:space="preserve"> maksājum</w:t>
      </w:r>
      <w:r w:rsidR="00A651B2">
        <w:rPr>
          <w:lang w:val="lv-LV"/>
        </w:rPr>
        <w:t>iem</w:t>
      </w:r>
      <w:r w:rsidRPr="0053072A">
        <w:rPr>
          <w:lang w:val="lv-LV"/>
        </w:rPr>
        <w:t>, 2027.-2034. gads, %</w:t>
      </w:r>
    </w:p>
    <w:p w14:paraId="00000232" w14:textId="16402A24" w:rsidR="007F09CB" w:rsidRPr="0053072A" w:rsidRDefault="0086213B">
      <w:pPr>
        <w:rPr>
          <w:lang w:val="lv-LV"/>
        </w:rPr>
      </w:pPr>
      <w:r>
        <w:rPr>
          <w:noProof/>
          <w:lang w:val="lv-LV"/>
        </w:rPr>
        <w:drawing>
          <wp:inline distT="0" distB="0" distL="0" distR="0" wp14:anchorId="78549DEF" wp14:editId="2991BBFA">
            <wp:extent cx="5968094" cy="267375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85565" cy="2681579"/>
                    </a:xfrm>
                    <a:prstGeom prst="rect">
                      <a:avLst/>
                    </a:prstGeom>
                    <a:noFill/>
                  </pic:spPr>
                </pic:pic>
              </a:graphicData>
            </a:graphic>
          </wp:inline>
        </w:drawing>
      </w:r>
    </w:p>
    <w:p w14:paraId="00000233" w14:textId="77777777" w:rsidR="007F09CB" w:rsidRPr="0053072A" w:rsidRDefault="00DB28EC" w:rsidP="00A651B2">
      <w:pPr>
        <w:pStyle w:val="Bottomcaption"/>
        <w:framePr w:wrap="around"/>
        <w:rPr>
          <w:lang w:val="lv-LV"/>
        </w:rPr>
      </w:pPr>
      <w:r w:rsidRPr="0053072A">
        <w:rPr>
          <w:lang w:val="lv-LV"/>
        </w:rPr>
        <w:t>Avots: pētījuma autoru aprēķini</w:t>
      </w:r>
    </w:p>
    <w:p w14:paraId="00000234" w14:textId="77777777" w:rsidR="007F09CB" w:rsidRPr="0053072A" w:rsidRDefault="00DB28EC">
      <w:pPr>
        <w:rPr>
          <w:lang w:val="lv-LV"/>
        </w:rPr>
      </w:pPr>
      <w:r w:rsidRPr="0053072A">
        <w:rPr>
          <w:lang w:val="lv-LV"/>
        </w:rPr>
        <w:t>Ņemot vērā, ka pamatsummas maksājumi augstāko izmaksu līmeni sasniedz 2028.-2033. gadā, kad tiek paralēli apmaksāti visi 5 iepriekš veiktie aizņēmumi, tad šajā situācijā drošākais risinājums ir ņemt vērā procentuālo apjomu, par kādu nepieciešams samazināt pamatsummas izmaksas šajos gados, un pēc tā aprēķināt aizņēmuma nepieciešamo termiņu. Lai sasniegtu 47% pamatsummas maksājumu samazinājumu, nepieciešams pagarināt aizņēmuma apmaksas termiņu no 10 uz 19 gadiem.</w:t>
      </w:r>
    </w:p>
    <w:p w14:paraId="00000235" w14:textId="2F285A32" w:rsidR="007F09CB" w:rsidRPr="0053072A" w:rsidRDefault="00DB28EC">
      <w:pPr>
        <w:rPr>
          <w:shd w:val="clear" w:color="auto" w:fill="F2F2F2"/>
          <w:lang w:val="lv-LV"/>
        </w:rPr>
      </w:pPr>
      <w:r w:rsidRPr="0053072A">
        <w:rPr>
          <w:lang w:val="lv-LV"/>
        </w:rPr>
        <w:t xml:space="preserve">Nav iespējams izslēgt nenoteiktības risku, ko rada ilgais apmaksas termiņš, bet jāņem vērā, ka šajā scenārijā nav nepieciešams no valsts budžeta novirzīt papildu finanšu līdzekļus un būtībā nepastāv risks, ka drošības rezervju rotācijas operācijas nespēs ģenerēt sagaidāmos ieņēmumus </w:t>
      </w:r>
      <w:r w:rsidRPr="00A651B2">
        <w:rPr>
          <w:lang w:val="lv-LV"/>
        </w:rPr>
        <w:t>(skatīt 1</w:t>
      </w:r>
      <w:r w:rsidR="00A651B2" w:rsidRPr="00A651B2">
        <w:rPr>
          <w:lang w:val="lv-LV"/>
        </w:rPr>
        <w:t>9</w:t>
      </w:r>
      <w:r w:rsidRPr="00A651B2">
        <w:rPr>
          <w:lang w:val="lv-LV"/>
        </w:rPr>
        <w:t xml:space="preserve">. attēlu). </w:t>
      </w:r>
      <w:r w:rsidRPr="0053072A">
        <w:rPr>
          <w:lang w:val="lv-LV"/>
        </w:rPr>
        <w:t>Tas nozīmē, ka aģentūra šajā gadījumā ir pašpietiekama struktūra, kas spēj patstāvīgi segt ar tās darbību un drošības rezervju iegādi saistītās izmaksas no valsts nodevas ieņēmumiem.</w:t>
      </w:r>
    </w:p>
    <w:p w14:paraId="00000236" w14:textId="77777777" w:rsidR="007F09CB" w:rsidRPr="0053072A" w:rsidRDefault="00DB28EC">
      <w:pPr>
        <w:rPr>
          <w:lang w:val="lv-LV"/>
        </w:rPr>
      </w:pPr>
      <w:r w:rsidRPr="0053072A">
        <w:rPr>
          <w:lang w:val="lv-LV"/>
        </w:rPr>
        <w:t>Šajā aprēķinu prognozē 2030.-2034. gadam izmantoti dati no 2028. un 2029. gada prognozēm. Ņemot vērā, ka pēc OPEC naftas produktu pieprasījuma prognozes, OECD Eiropas dalībvalstīs tiek prognozēts pieprasījuma kritums vismaz līdz 2045. gadam (</w:t>
      </w:r>
      <w:r w:rsidRPr="00DF71FD">
        <w:rPr>
          <w:lang w:val="lv-LV"/>
        </w:rPr>
        <w:t>skatīt 6. attēlu</w:t>
      </w:r>
      <w:r w:rsidRPr="0053072A">
        <w:rPr>
          <w:lang w:val="lv-LV"/>
        </w:rPr>
        <w:t>), tad šāda metode nerada risku, ka aprēķinātais nepieciešamais pamatsummas maksājuma samazinājums varētu būt nepietiekams. Valsts nodevas likme tiek pieņemta 19,3 EUR/t, aizņēmuma procentu likme paliek nemainīga – 0,55% gadā.</w:t>
      </w:r>
    </w:p>
    <w:p w14:paraId="00000237" w14:textId="77777777" w:rsidR="007F09CB" w:rsidRPr="0053072A" w:rsidRDefault="00DB28EC">
      <w:pPr>
        <w:pStyle w:val="Heading2"/>
        <w:numPr>
          <w:ilvl w:val="1"/>
          <w:numId w:val="10"/>
        </w:numPr>
        <w:ind w:left="0" w:firstLine="0"/>
        <w:rPr>
          <w:lang w:val="lv-LV"/>
        </w:rPr>
      </w:pPr>
      <w:bookmarkStart w:id="21" w:name="_Toc98774218"/>
      <w:r w:rsidRPr="0053072A">
        <w:rPr>
          <w:lang w:val="lv-LV"/>
        </w:rPr>
        <w:t>Drošības rezervju aprites finanšu aprēķins 2023.-2029. gadam</w:t>
      </w:r>
      <w:bookmarkEnd w:id="21"/>
    </w:p>
    <w:p w14:paraId="00000238" w14:textId="77777777" w:rsidR="007F09CB" w:rsidRPr="0053072A" w:rsidRDefault="00DB28EC">
      <w:pPr>
        <w:rPr>
          <w:lang w:val="lv-LV"/>
        </w:rPr>
      </w:pPr>
      <w:r w:rsidRPr="0053072A">
        <w:rPr>
          <w:lang w:val="lv-LV"/>
        </w:rPr>
        <w:t xml:space="preserve">Lai spētu nodrošināt papildu izdevumu segšanu un nodrošinātu, ka drošības rezerves atbilst degvielas kvalitātes standartiem, drošības rezerves ir paredzēts rotēt – benzīnu paredzēts rotēt reizi gadā, bet </w:t>
      </w:r>
      <w:r w:rsidRPr="0053072A">
        <w:rPr>
          <w:lang w:val="lv-LV"/>
        </w:rPr>
        <w:lastRenderedPageBreak/>
        <w:t>dīzeļdegvielu paredzēts rotēt reizi divos gados. Tas nozīmē, ka benzīna pirmo rotāciju būs iespējams veikt 2025. gadā, bet dīzeļdegvielas – 2026. gadā.</w:t>
      </w:r>
    </w:p>
    <w:p w14:paraId="00000239" w14:textId="68F7EE6C" w:rsidR="007F09CB" w:rsidRPr="00793C18" w:rsidRDefault="00DB28EC" w:rsidP="00793C18">
      <w:pPr>
        <w:pStyle w:val="Caption"/>
        <w:framePr w:wrap="around"/>
      </w:pPr>
      <w:r w:rsidRPr="00793C18">
        <w:t>1</w:t>
      </w:r>
      <w:r w:rsidR="00A651B2" w:rsidRPr="00793C18">
        <w:t>7</w:t>
      </w:r>
      <w:r w:rsidRPr="00793C18">
        <w:t>. attēls. Prognozētais drošības rezervju apjoms, kas pieejams rotācijai, 2025.-2029. gads, tūkst. t</w:t>
      </w:r>
    </w:p>
    <w:p w14:paraId="0000023A" w14:textId="77777777" w:rsidR="007F09CB" w:rsidRPr="0053072A" w:rsidRDefault="00DB28EC">
      <w:pPr>
        <w:rPr>
          <w:lang w:val="lv-LV"/>
        </w:rPr>
      </w:pPr>
      <w:r w:rsidRPr="0053072A">
        <w:rPr>
          <w:noProof/>
          <w:lang w:val="lv-LV"/>
        </w:rPr>
        <w:drawing>
          <wp:inline distT="0" distB="0" distL="0" distR="0" wp14:anchorId="35CA7207" wp14:editId="328549F0">
            <wp:extent cx="5986506" cy="2860436"/>
            <wp:effectExtent l="0" t="0" r="0" b="0"/>
            <wp:docPr id="144"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29"/>
                    <a:srcRect/>
                    <a:stretch>
                      <a:fillRect/>
                    </a:stretch>
                  </pic:blipFill>
                  <pic:spPr>
                    <a:xfrm>
                      <a:off x="0" y="0"/>
                      <a:ext cx="5986506" cy="2860436"/>
                    </a:xfrm>
                    <a:prstGeom prst="rect">
                      <a:avLst/>
                    </a:prstGeom>
                    <a:ln/>
                  </pic:spPr>
                </pic:pic>
              </a:graphicData>
            </a:graphic>
          </wp:inline>
        </w:drawing>
      </w:r>
    </w:p>
    <w:p w14:paraId="0000023B" w14:textId="77777777" w:rsidR="007F09CB" w:rsidRPr="0053072A" w:rsidRDefault="00DB28EC" w:rsidP="00A651B2">
      <w:pPr>
        <w:pStyle w:val="Bottomcaption"/>
        <w:framePr w:wrap="around"/>
        <w:rPr>
          <w:lang w:val="lv-LV"/>
        </w:rPr>
      </w:pPr>
      <w:r w:rsidRPr="0053072A">
        <w:rPr>
          <w:lang w:val="lv-LV"/>
        </w:rPr>
        <w:t>Avots: pētījuma autoru aprēķini</w:t>
      </w:r>
    </w:p>
    <w:p w14:paraId="00000245" w14:textId="79ADB824" w:rsidR="007F09CB" w:rsidRPr="00793C18" w:rsidRDefault="00DB28EC">
      <w:pPr>
        <w:rPr>
          <w:lang w:val="lv-LV"/>
        </w:rPr>
      </w:pPr>
      <w:r w:rsidRPr="0053072A">
        <w:rPr>
          <w:lang w:val="lv-LV"/>
        </w:rPr>
        <w:t>Ņemot vērā, ka šajā laika periodā drošības rezerves vēl pakāpeniski tiek iegādātas valsts īpašumā un to, ka dīzeļdegvielu paredzēts rotēt reizi 2 gados, ir izskaidrojams, kādēļ līdz 2029. gadam, pie pieņemtā drošības rezervju sadalījuma pa naftas produktu kategorijām, rotētās dīzeļdegvielas apjomi ir mazāki nekā benzīna apjomi. Rotācijas operācijas saistās ar izmaksām, kas atspoguļotas 1</w:t>
      </w:r>
      <w:r w:rsidR="00A651B2">
        <w:rPr>
          <w:lang w:val="lv-LV"/>
        </w:rPr>
        <w:t>8</w:t>
      </w:r>
      <w:r w:rsidRPr="0053072A">
        <w:rPr>
          <w:lang w:val="lv-LV"/>
        </w:rPr>
        <w:t>. attēlā.</w:t>
      </w:r>
    </w:p>
    <w:p w14:paraId="00000246" w14:textId="6F5B4A3B" w:rsidR="007F09CB" w:rsidRPr="0053072A" w:rsidRDefault="00DB28EC" w:rsidP="00A651B2">
      <w:pPr>
        <w:pStyle w:val="Caption"/>
        <w:framePr w:wrap="around"/>
        <w:rPr>
          <w:highlight w:val="yellow"/>
          <w:lang w:val="lv-LV"/>
        </w:rPr>
      </w:pPr>
      <w:r w:rsidRPr="0053072A">
        <w:rPr>
          <w:lang w:val="lv-LV"/>
        </w:rPr>
        <w:t>1</w:t>
      </w:r>
      <w:r w:rsidR="00A651B2">
        <w:rPr>
          <w:lang w:val="lv-LV"/>
        </w:rPr>
        <w:t>8</w:t>
      </w:r>
      <w:r w:rsidRPr="0053072A">
        <w:rPr>
          <w:lang w:val="lv-LV"/>
        </w:rPr>
        <w:t>. attēls. Prognozētās drošības rezervju rotācijas izmaksas, 2025.-2029. gads, tūkst. EUR</w:t>
      </w:r>
    </w:p>
    <w:p w14:paraId="00000247" w14:textId="591F6FA5" w:rsidR="007F09CB" w:rsidRPr="0053072A" w:rsidRDefault="00793C18">
      <w:pPr>
        <w:rPr>
          <w:lang w:val="lv-LV"/>
        </w:rPr>
      </w:pPr>
      <w:r>
        <w:rPr>
          <w:noProof/>
          <w:lang w:val="lv-LV"/>
        </w:rPr>
        <w:drawing>
          <wp:inline distT="0" distB="0" distL="0" distR="0" wp14:anchorId="05FA4086" wp14:editId="046033BE">
            <wp:extent cx="5971735" cy="2396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83781" cy="2401790"/>
                    </a:xfrm>
                    <a:prstGeom prst="rect">
                      <a:avLst/>
                    </a:prstGeom>
                    <a:noFill/>
                  </pic:spPr>
                </pic:pic>
              </a:graphicData>
            </a:graphic>
          </wp:inline>
        </w:drawing>
      </w:r>
    </w:p>
    <w:p w14:paraId="00000248" w14:textId="77777777" w:rsidR="007F09CB" w:rsidRPr="0053072A" w:rsidRDefault="00DB28EC" w:rsidP="00A651B2">
      <w:pPr>
        <w:pStyle w:val="Bottomcaption"/>
        <w:framePr w:wrap="around"/>
        <w:rPr>
          <w:lang w:val="lv-LV"/>
        </w:rPr>
      </w:pPr>
      <w:r w:rsidRPr="0053072A">
        <w:rPr>
          <w:lang w:val="lv-LV"/>
        </w:rPr>
        <w:t>Avots: pētījuma autoru aprēķini</w:t>
      </w:r>
    </w:p>
    <w:p w14:paraId="00000249" w14:textId="77777777" w:rsidR="007F09CB" w:rsidRPr="0053072A" w:rsidRDefault="00DB28EC">
      <w:pPr>
        <w:rPr>
          <w:lang w:val="lv-LV"/>
        </w:rPr>
      </w:pPr>
      <w:r w:rsidRPr="0053072A">
        <w:rPr>
          <w:lang w:val="lv-LV"/>
        </w:rPr>
        <w:t xml:space="preserve">Jāņem vērā, ka rotācijas izmaksas tiek aprēķinātas par tonnu, līdz ar to šīs izmaksas pieaug līdz ar rotējamo drošības rezervju apjomu. No intervijām ar industrijas pārstāvjiem iegūtajām atbildēm secināms, ka vidējo rotācijas cenu iespējams pieņemt kā aptuveni 3 EUR/t, kas tālāk tiek izmantota arī veiktajos aprēķinos. </w:t>
      </w:r>
      <w:r w:rsidRPr="0053072A">
        <w:rPr>
          <w:lang w:val="lv-LV"/>
        </w:rPr>
        <w:lastRenderedPageBreak/>
        <w:t xml:space="preserve">Jāņem vērā, ka pastāv starpība starp izmaksām, kas rodas pārkraujot naftas produktus no uzglabāšanas infrastruktūras no/uz kuģiem un no/uz vilciena sastāviem. Šīs cenas var ievērojami atšķirties arī starp dažādiem infrastruktūras uzturētājiem, atbilstoši pakalpojuma sniedzēja piedāvājumam un cenu politikai. </w:t>
      </w:r>
    </w:p>
    <w:p w14:paraId="0000024A" w14:textId="3ABAAF0C" w:rsidR="007F09CB" w:rsidRPr="0053072A" w:rsidRDefault="00DB28EC" w:rsidP="00793C18">
      <w:pPr>
        <w:pStyle w:val="Caption"/>
        <w:framePr w:wrap="around"/>
        <w:rPr>
          <w:lang w:val="lv-LV"/>
        </w:rPr>
      </w:pPr>
      <w:r w:rsidRPr="0053072A">
        <w:rPr>
          <w:lang w:val="lv-LV"/>
        </w:rPr>
        <w:t>1</w:t>
      </w:r>
      <w:r w:rsidR="00A651B2">
        <w:rPr>
          <w:lang w:val="lv-LV"/>
        </w:rPr>
        <w:t>9</w:t>
      </w:r>
      <w:r w:rsidRPr="0053072A">
        <w:rPr>
          <w:lang w:val="lv-LV"/>
        </w:rPr>
        <w:t>. attēls. Izdevumi, kurus prognozēts segt no drošības rezervju rotācijas laikā gūtajiem ieņēmumiem, 2026.-2029. gads, milj. EUR</w:t>
      </w:r>
    </w:p>
    <w:p w14:paraId="0000024B" w14:textId="56A903E8" w:rsidR="007F09CB" w:rsidRPr="0053072A" w:rsidRDefault="00793C18">
      <w:pPr>
        <w:rPr>
          <w:lang w:val="lv-LV"/>
        </w:rPr>
      </w:pPr>
      <w:r>
        <w:rPr>
          <w:noProof/>
          <w:lang w:val="lv-LV"/>
        </w:rPr>
        <w:drawing>
          <wp:inline distT="0" distB="0" distL="0" distR="0" wp14:anchorId="29C929AC" wp14:editId="3D6EDCDB">
            <wp:extent cx="5951528" cy="23773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5636" cy="2382977"/>
                    </a:xfrm>
                    <a:prstGeom prst="rect">
                      <a:avLst/>
                    </a:prstGeom>
                    <a:noFill/>
                  </pic:spPr>
                </pic:pic>
              </a:graphicData>
            </a:graphic>
          </wp:inline>
        </w:drawing>
      </w:r>
    </w:p>
    <w:p w14:paraId="0000024C" w14:textId="77777777" w:rsidR="007F09CB" w:rsidRPr="0053072A" w:rsidRDefault="00DB28EC" w:rsidP="00793C18">
      <w:pPr>
        <w:pStyle w:val="Bottomcaption"/>
        <w:framePr w:wrap="around"/>
        <w:rPr>
          <w:lang w:val="lv-LV"/>
        </w:rPr>
      </w:pPr>
      <w:r w:rsidRPr="0053072A">
        <w:rPr>
          <w:lang w:val="lv-LV"/>
        </w:rPr>
        <w:t>Avots: pētījuma autoru aprēķini</w:t>
      </w:r>
    </w:p>
    <w:p w14:paraId="6C2066C9" w14:textId="77777777" w:rsidR="0011743F" w:rsidRPr="0053072A" w:rsidRDefault="0011743F" w:rsidP="0011743F">
      <w:pPr>
        <w:pStyle w:val="Caption"/>
        <w:framePr w:h="750" w:hRule="exact" w:wrap="around" w:y="3228"/>
        <w:rPr>
          <w:lang w:val="lv-LV"/>
        </w:rPr>
      </w:pPr>
      <w:r>
        <w:rPr>
          <w:lang w:val="lv-LV"/>
        </w:rPr>
        <w:t>20</w:t>
      </w:r>
      <w:r w:rsidRPr="0053072A">
        <w:rPr>
          <w:lang w:val="lv-LV"/>
        </w:rPr>
        <w:t>. attēls. Prognozētā vēlamā ieņēmumu starpība starp drošības rezervju pirkšanas un pārdošanas cenu, 2026.-2029. gads, EUR</w:t>
      </w:r>
    </w:p>
    <w:p w14:paraId="0000024D" w14:textId="2F98C241" w:rsidR="007F09CB" w:rsidRPr="0053072A" w:rsidRDefault="00DB28EC">
      <w:pPr>
        <w:rPr>
          <w:highlight w:val="yellow"/>
          <w:lang w:val="lv-LV"/>
        </w:rPr>
      </w:pPr>
      <w:r w:rsidRPr="0053072A">
        <w:rPr>
          <w:lang w:val="lv-LV"/>
        </w:rPr>
        <w:t>Kā redzams 1</w:t>
      </w:r>
      <w:r w:rsidR="00A651B2">
        <w:rPr>
          <w:lang w:val="lv-LV"/>
        </w:rPr>
        <w:t>9</w:t>
      </w:r>
      <w:r w:rsidRPr="0053072A">
        <w:rPr>
          <w:lang w:val="lv-LV"/>
        </w:rPr>
        <w:t>. attēlā, tad 2029. gadā izdevumi, kurus potenciāli paredzēts segt no ieņēmumiem par drošības rezervju rotāciju, salīdzinājumā ar 2026. gadu ir pieauguši 267 reizes. Šis izmaksu pieaugums skaidrojams ar to, ka tiek realizēta pēdējo 20% drošības rezervju iegāde, līdz ar to pieaug arī kopējie aizņēmuma ikmēneša maksājumi. Svarīgākais jautājums, ko nepieciešams precizēt – vai ir iespējams šādu izmaksu apjomu segt no potenciāliem ieņēmumiem no drošības rezervju rotācijas? Lai veiktu secinājumus par varbūtību, ar kādu ir iespējams, ka potenciālie ieņēmumi no drošības rezervju rotācijas spēs segt nepieciešamo izmaksu daļu, ir jāzina cik lielu procentuālu starpību starp pārdošanas un pirkšanas cenu ir jāspēj nodrošināt, lai sasniegtu vēlamo ieņēmumu (</w:t>
      </w:r>
      <w:r w:rsidR="00A651B2">
        <w:rPr>
          <w:lang w:val="lv-LV"/>
        </w:rPr>
        <w:t>20</w:t>
      </w:r>
      <w:r w:rsidRPr="0053072A">
        <w:rPr>
          <w:lang w:val="lv-LV"/>
        </w:rPr>
        <w:t>. attēls), un jāzina vidējās vēsturiskās naftas produktu (benzīna un dīzeļdegvielas) cenas svārstību dinamika (</w:t>
      </w:r>
      <w:r w:rsidR="00A651B2">
        <w:rPr>
          <w:lang w:val="lv-LV"/>
        </w:rPr>
        <w:t>21</w:t>
      </w:r>
      <w:r w:rsidRPr="0053072A">
        <w:rPr>
          <w:lang w:val="lv-LV"/>
        </w:rPr>
        <w:t>. attēls).</w:t>
      </w:r>
    </w:p>
    <w:p w14:paraId="0000024F" w14:textId="1604C9F5" w:rsidR="007F09CB" w:rsidRPr="0053072A" w:rsidRDefault="00793C18">
      <w:pPr>
        <w:rPr>
          <w:lang w:val="lv-LV"/>
        </w:rPr>
      </w:pPr>
      <w:r>
        <w:rPr>
          <w:noProof/>
          <w:lang w:val="lv-LV"/>
        </w:rPr>
        <w:drawing>
          <wp:inline distT="0" distB="0" distL="0" distR="0" wp14:anchorId="23887591" wp14:editId="4764F59B">
            <wp:extent cx="5864001" cy="239964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38475" cy="2430116"/>
                    </a:xfrm>
                    <a:prstGeom prst="rect">
                      <a:avLst/>
                    </a:prstGeom>
                    <a:noFill/>
                  </pic:spPr>
                </pic:pic>
              </a:graphicData>
            </a:graphic>
          </wp:inline>
        </w:drawing>
      </w:r>
    </w:p>
    <w:p w14:paraId="00000250" w14:textId="77777777" w:rsidR="007F09CB" w:rsidRPr="0053072A" w:rsidRDefault="00DB28EC" w:rsidP="00793C18">
      <w:pPr>
        <w:pStyle w:val="Bottomcaption"/>
        <w:framePr w:wrap="around"/>
        <w:rPr>
          <w:lang w:val="lv-LV"/>
        </w:rPr>
      </w:pPr>
      <w:r w:rsidRPr="0053072A">
        <w:rPr>
          <w:lang w:val="lv-LV"/>
        </w:rPr>
        <w:t>Avots: pētījuma autoru aprēķini</w:t>
      </w:r>
    </w:p>
    <w:p w14:paraId="00000251" w14:textId="78753B54" w:rsidR="007F09CB" w:rsidRPr="0053072A" w:rsidRDefault="00DB28EC">
      <w:pPr>
        <w:rPr>
          <w:lang w:val="lv-LV"/>
        </w:rPr>
      </w:pPr>
      <w:r w:rsidRPr="0053072A">
        <w:rPr>
          <w:lang w:val="lv-LV"/>
        </w:rPr>
        <w:lastRenderedPageBreak/>
        <w:t xml:space="preserve">Pieņemot, ka pārdošanas operācijas tiek veiktas par prognozēto vidējo naftas produktu vairumtirdzniecības tirgus cenu, </w:t>
      </w:r>
      <w:r w:rsidR="00A651B2">
        <w:rPr>
          <w:lang w:val="lv-LV"/>
        </w:rPr>
        <w:t>20</w:t>
      </w:r>
      <w:r w:rsidRPr="0053072A">
        <w:rPr>
          <w:lang w:val="lv-LV"/>
        </w:rPr>
        <w:t>. attēlā vizualizēta procentuālā starpība, ko nepieciešams nodrošināt starp pārdošanas un pirkšanas cenu, lai spētu nosegt 1</w:t>
      </w:r>
      <w:r w:rsidR="00A651B2">
        <w:rPr>
          <w:lang w:val="lv-LV"/>
        </w:rPr>
        <w:t>9</w:t>
      </w:r>
      <w:r w:rsidRPr="0053072A">
        <w:rPr>
          <w:lang w:val="lv-LV"/>
        </w:rPr>
        <w:t>. attēlā attēlotās papildu izmaksas.</w:t>
      </w:r>
    </w:p>
    <w:p w14:paraId="00000252" w14:textId="77777777" w:rsidR="007F09CB" w:rsidRPr="0053072A" w:rsidRDefault="00DB28EC">
      <w:pPr>
        <w:rPr>
          <w:lang w:val="lv-LV"/>
        </w:rPr>
      </w:pPr>
      <w:r w:rsidRPr="0053072A">
        <w:rPr>
          <w:lang w:val="lv-LV"/>
        </w:rPr>
        <w:t>Lai aprēķinātu varbūtību, ar kādu iespējams segt papildu izdevumus no drošības rezervju rotācijas potenciāliem ieņēmumiem, nepieciešams noteikt vēsturisko izmaiņu vidējo procentuālo rādītāju.</w:t>
      </w:r>
    </w:p>
    <w:p w14:paraId="00000253" w14:textId="426B958D" w:rsidR="007F09CB" w:rsidRPr="0053072A" w:rsidRDefault="00A651B2" w:rsidP="006A5E49">
      <w:pPr>
        <w:pStyle w:val="Caption"/>
        <w:framePr w:wrap="around"/>
        <w:rPr>
          <w:lang w:val="lv-LV"/>
        </w:rPr>
      </w:pPr>
      <w:r>
        <w:rPr>
          <w:lang w:val="lv-LV"/>
        </w:rPr>
        <w:t>21</w:t>
      </w:r>
      <w:r w:rsidR="00DB28EC" w:rsidRPr="0053072A">
        <w:rPr>
          <w:lang w:val="lv-LV"/>
        </w:rPr>
        <w:t>. attēls. PKN Orlen norādītās benzīna un dīzeļdegvielas vidējās vairumtirdzniecības cenas izmaiņas, 2004.-2020. gads, %</w:t>
      </w:r>
    </w:p>
    <w:p w14:paraId="00000254" w14:textId="5FDC769E" w:rsidR="007F09CB" w:rsidRPr="0053072A" w:rsidRDefault="006A5E49">
      <w:pPr>
        <w:rPr>
          <w:lang w:val="lv-LV"/>
        </w:rPr>
      </w:pPr>
      <w:r>
        <w:rPr>
          <w:noProof/>
          <w:lang w:val="lv-LV"/>
        </w:rPr>
        <w:drawing>
          <wp:inline distT="0" distB="0" distL="0" distR="0" wp14:anchorId="49515127" wp14:editId="75D88D3B">
            <wp:extent cx="5992165" cy="188596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20399" cy="1894850"/>
                    </a:xfrm>
                    <a:prstGeom prst="rect">
                      <a:avLst/>
                    </a:prstGeom>
                    <a:noFill/>
                  </pic:spPr>
                </pic:pic>
              </a:graphicData>
            </a:graphic>
          </wp:inline>
        </w:drawing>
      </w:r>
    </w:p>
    <w:p w14:paraId="00000255" w14:textId="77777777" w:rsidR="007F09CB" w:rsidRPr="0053072A" w:rsidRDefault="00DB28EC" w:rsidP="006A5E49">
      <w:pPr>
        <w:pStyle w:val="Bottomcaption"/>
        <w:framePr w:wrap="around"/>
        <w:rPr>
          <w:lang w:val="lv-LV"/>
        </w:rPr>
      </w:pPr>
      <w:r w:rsidRPr="0053072A">
        <w:rPr>
          <w:lang w:val="lv-LV"/>
        </w:rPr>
        <w:t>Avots: PKN Orlen cenu arhīvs. Pieejams: https://a.orlen.pl/PL/DlaBiznesu/HurtoweCenyPaliw/Strony/archiwum-cen.aspx?Fuel=ONEkodiesel&amp;Year=2016</w:t>
      </w:r>
    </w:p>
    <w:p w14:paraId="00000256" w14:textId="77777777" w:rsidR="007F09CB" w:rsidRPr="0053072A" w:rsidRDefault="00DB28EC">
      <w:pPr>
        <w:rPr>
          <w:lang w:val="lv-LV"/>
        </w:rPr>
      </w:pPr>
      <w:r w:rsidRPr="0053072A">
        <w:rPr>
          <w:lang w:val="lv-LV"/>
        </w:rPr>
        <w:t xml:space="preserve">Kā datu avots benzīna un dīzeļdegvielas vidējām vairumtirdzniecības cenām šajā gadījumā ir izvēlēta PKN Orlen vēsturiskā datu bāze. Šis datu avots ir attiecināms uz situāciju Latvijā, jo pašreiz liela daļa naftas produktu Latvijā nonāk caur Mažeiķu naftas pārstrādes rūpnīcu, kas pieder Orlen Lietuva, kas savukārt ir PKN Orlen meitas uzņēmums. No grafikā attēlotajiem datiem var secināt, ka vidējās vēsturiskās cenu svārstības apskatītajā laika periodā ir 4%. Paļaujoties uz vēsturiskajiem datiem, var pieņemt, ka arī nākotnē var saglabāties līdzvērtīga cenas dinamika. Aprēķinot varbūtību (atbilstoši gadījumi apskatītajā datu kopā pret datu kopas visu vērtību kopskaitu), var secināt, ka 44% no gadījumiem starpība starp iepriekšējā un nākamā gada cenu ir vienāda vai lielāka ar -4%. Šī varbūtība izmantota, aprēķinot ieņēmumus no drošības rezervju rotācijas, taču jāņem vērā, ka šis ir teorētisks aprēķins, kas balstīts uz vēsturiskajiem datiem un negarantē, ka šādi gadījumi ar šādu varbūtības pakāpi atkārtosies arī nākotnē. </w:t>
      </w:r>
    </w:p>
    <w:p w14:paraId="00000257" w14:textId="77777777" w:rsidR="007F09CB" w:rsidRPr="0053072A" w:rsidRDefault="00DB28EC">
      <w:pPr>
        <w:rPr>
          <w:lang w:val="lv-LV"/>
        </w:rPr>
      </w:pPr>
      <w:r w:rsidRPr="0053072A">
        <w:rPr>
          <w:lang w:val="lv-LV"/>
        </w:rPr>
        <w:t>Izdarot secinājumus par iepriekš aprakstīto risinājumu kā iespēju segt izmaksu daļu, ko nesedz esošajā modelī attēlotais valsts nodevas ieņēmumu līmenis, ir iespējams veikt sekojošus secinājumus:</w:t>
      </w:r>
    </w:p>
    <w:p w14:paraId="00000258" w14:textId="77777777" w:rsidR="007F09CB" w:rsidRPr="0053072A" w:rsidRDefault="00DB28EC">
      <w:pPr>
        <w:numPr>
          <w:ilvl w:val="0"/>
          <w:numId w:val="25"/>
        </w:numPr>
        <w:spacing w:after="0"/>
        <w:rPr>
          <w:lang w:val="lv-LV"/>
        </w:rPr>
      </w:pPr>
      <w:r w:rsidRPr="0053072A">
        <w:rPr>
          <w:lang w:val="lv-LV"/>
        </w:rPr>
        <w:t>Atsaucoties uz vēsturiskajiem datiem, pastāv 44% iespēja, ka no valsts nodevas nesegto izdevumu daļu būs iespējams segt ar potenciāliem ieņēmumiem no drošības rezervju rotācijas. Šādā gadījumā ir svarīgi ņemt vērā šeit noteikto drošības rezervju rotācijas biežumu (benzīnam – reizi gadā, dīzeļdegvielai – reizi 2 gados) un drošības rezervju attiecību pa to kategorijām;</w:t>
      </w:r>
    </w:p>
    <w:p w14:paraId="00000259" w14:textId="77777777" w:rsidR="007F09CB" w:rsidRPr="0053072A" w:rsidRDefault="00DB28EC">
      <w:pPr>
        <w:numPr>
          <w:ilvl w:val="0"/>
          <w:numId w:val="25"/>
        </w:numPr>
        <w:spacing w:after="0"/>
        <w:rPr>
          <w:lang w:val="lv-LV"/>
        </w:rPr>
      </w:pPr>
      <w:r w:rsidRPr="0053072A">
        <w:rPr>
          <w:lang w:val="lv-LV"/>
        </w:rPr>
        <w:t>Ja rotācijas biežumu samazina abiem šeit minētajiem drošības rezervju veidiem, ievērojami samazinās varbūtība, ka ar šeit minēto izdevumu daļu būs iespējams segt ar ieņēmumiem no drošības rezervju rotācijas;</w:t>
      </w:r>
    </w:p>
    <w:p w14:paraId="0000025A" w14:textId="77777777" w:rsidR="007F09CB" w:rsidRPr="0053072A" w:rsidRDefault="00DB28EC">
      <w:pPr>
        <w:numPr>
          <w:ilvl w:val="0"/>
          <w:numId w:val="25"/>
        </w:numPr>
        <w:spacing w:after="0"/>
        <w:rPr>
          <w:lang w:val="lv-LV"/>
        </w:rPr>
      </w:pPr>
      <w:r w:rsidRPr="0053072A">
        <w:rPr>
          <w:lang w:val="lv-LV"/>
        </w:rPr>
        <w:t>Palielinot dīzeļdegvielas īpatsvaru, kas tiek rotēts reizi divos gados, tiek samazināts potenciāli gūstamais ieņēmumu līmenis, jo samazinās drošības rezervju apjoms (benzīns), kas tiek rotēts biežāk (reizi gadā);</w:t>
      </w:r>
    </w:p>
    <w:p w14:paraId="0000025B" w14:textId="77777777" w:rsidR="007F09CB" w:rsidRPr="0053072A" w:rsidRDefault="00DB28EC">
      <w:pPr>
        <w:numPr>
          <w:ilvl w:val="0"/>
          <w:numId w:val="25"/>
        </w:numPr>
        <w:rPr>
          <w:lang w:val="lv-LV"/>
        </w:rPr>
      </w:pPr>
      <w:r w:rsidRPr="0053072A">
        <w:rPr>
          <w:lang w:val="lv-LV"/>
        </w:rPr>
        <w:t>Līdz ar to aģentūrai, papildus pirkšanas/pārdošanas cenu starpības monitorēšanai, ir jāpārvalda arī drošības rezervju attiecību proporcija un drošības rezervju rotācijas termiņi. Atbilstoši izmaiņām šajos mainīgajos lielumos ir jāatjauno attiecīgie finanšu aprēķini.</w:t>
      </w:r>
    </w:p>
    <w:p w14:paraId="0000025C" w14:textId="77777777" w:rsidR="007F09CB" w:rsidRPr="0053072A" w:rsidRDefault="00DB28EC">
      <w:pPr>
        <w:rPr>
          <w:lang w:val="lv-LV"/>
        </w:rPr>
      </w:pPr>
      <w:r w:rsidRPr="0053072A">
        <w:rPr>
          <w:lang w:val="lv-LV"/>
        </w:rPr>
        <w:t xml:space="preserve">Jāņem vērā, ka aprēķinātā varbūtība nav vērtējama kā augsta un pastāv finanšu risks, ka būs gadījumi, kad nebūs iespējams gūt ieņēmumus no rotācijas operācijām, tieši pretēji – šīs operācijas var radīt arī </w:t>
      </w:r>
      <w:r w:rsidRPr="0053072A">
        <w:rPr>
          <w:lang w:val="lv-LV"/>
        </w:rPr>
        <w:lastRenderedPageBreak/>
        <w:t>zaudējumus. Ja no rotācijas potenciālajiem ieņēmumiem sedzamo izmaksu daļu nav iespējams segt no rotācijas ieņēmumiem, tad nepieciešams palielināt valsts nodevas likmi atbilstoši līmenim, kas ļautu segt minētās izmaksas (potenciāls valsts nodevas palielinājums 20-60% apmērā).</w:t>
      </w:r>
    </w:p>
    <w:p w14:paraId="0000025D" w14:textId="77777777" w:rsidR="007F09CB" w:rsidRPr="0053072A" w:rsidRDefault="00DB28EC">
      <w:pPr>
        <w:rPr>
          <w:lang w:val="lv-LV"/>
        </w:rPr>
      </w:pPr>
      <w:r w:rsidRPr="0053072A">
        <w:rPr>
          <w:lang w:val="lv-LV"/>
        </w:rPr>
        <w:t>Risks, ka minētās izmaksas nebūs iespējams segt no potenciālajiem ieņēmumiem no drošības rezervju rotācijas, samazinās līdz ar tiešo rezervju iegādes izmaksu (aizdevuma pamatsumma un procentu maksājumi) samazināšanos.</w:t>
      </w:r>
    </w:p>
    <w:p w14:paraId="0000025E" w14:textId="77777777" w:rsidR="007F09CB" w:rsidRPr="0053072A" w:rsidRDefault="00DB28EC">
      <w:pPr>
        <w:rPr>
          <w:lang w:val="lv-LV"/>
        </w:rPr>
      </w:pPr>
      <w:r w:rsidRPr="0053072A">
        <w:rPr>
          <w:lang w:val="lv-LV"/>
        </w:rPr>
        <w:t xml:space="preserve">Situācijā, kad drošības rezerves pilnībā ir valsts īpašumā un ir veikta aizdevuma pamatsummas un procentu maksājumu apmaksa, potenciālie ieņēmumi no drošības rezervju rotācijas var tikt novirzīti, lai samazinātu valsts nodevas likmi. Šādā situācijā visas aģentūras izmaksas būtu iespējams segt no valsts nodevas ieņēmumiem, nepaaugstinot esošās valsts nodevas likmi. </w:t>
      </w:r>
    </w:p>
    <w:p w14:paraId="0000025F" w14:textId="77777777" w:rsidR="007F09CB" w:rsidRPr="0053072A" w:rsidRDefault="00DB28EC">
      <w:pPr>
        <w:pStyle w:val="Heading2"/>
        <w:numPr>
          <w:ilvl w:val="1"/>
          <w:numId w:val="10"/>
        </w:numPr>
        <w:ind w:left="0" w:firstLine="0"/>
        <w:rPr>
          <w:lang w:val="lv-LV"/>
        </w:rPr>
      </w:pPr>
      <w:bookmarkStart w:id="22" w:name="_Toc98774219"/>
      <w:r w:rsidRPr="0053072A">
        <w:rPr>
          <w:lang w:val="lv-LV"/>
        </w:rPr>
        <w:t>Drošības rezervju uzglabāšanas infrastruktūras pakalpojumu iepirkuma un administrēšanas izmaksu aprēķins 2023.-2029. gadam</w:t>
      </w:r>
      <w:bookmarkEnd w:id="22"/>
    </w:p>
    <w:p w14:paraId="00000260" w14:textId="77777777" w:rsidR="007F09CB" w:rsidRPr="0053072A" w:rsidRDefault="00DB28EC">
      <w:pPr>
        <w:rPr>
          <w:lang w:val="lv-LV"/>
        </w:rPr>
      </w:pPr>
      <w:r w:rsidRPr="0053072A">
        <w:rPr>
          <w:lang w:val="lv-LV"/>
        </w:rPr>
        <w:t>Esošajā modelī uzglabāšanas infrastruktūras pakalpojuma cena ietver sekojošus faktorus:</w:t>
      </w:r>
    </w:p>
    <w:p w14:paraId="00000261" w14:textId="77777777" w:rsidR="007F09CB" w:rsidRPr="0053072A" w:rsidRDefault="00DB28EC">
      <w:pPr>
        <w:numPr>
          <w:ilvl w:val="0"/>
          <w:numId w:val="15"/>
        </w:numPr>
        <w:rPr>
          <w:lang w:val="lv-LV"/>
        </w:rPr>
      </w:pPr>
      <w:r w:rsidRPr="0053072A">
        <w:rPr>
          <w:lang w:val="lv-LV"/>
        </w:rPr>
        <w:t>Uzglabāšanas termināļu nomas maksa;</w:t>
      </w:r>
    </w:p>
    <w:p w14:paraId="00000262" w14:textId="77777777" w:rsidR="007F09CB" w:rsidRPr="0053072A" w:rsidRDefault="00DB28EC">
      <w:pPr>
        <w:numPr>
          <w:ilvl w:val="0"/>
          <w:numId w:val="15"/>
        </w:numPr>
        <w:rPr>
          <w:lang w:val="lv-LV"/>
        </w:rPr>
      </w:pPr>
      <w:r w:rsidRPr="0053072A">
        <w:rPr>
          <w:lang w:val="lv-LV"/>
        </w:rPr>
        <w:t>Maksa par nepieciešamā drošības rezervju apjoma esamības garantēšanu nepieciešamības gadījumā (nav izvirzīti kā atsevišķs tarifs/cena, bet ir iekļauta pakalpojumu sniedzēju cenas aprēķinā);</w:t>
      </w:r>
    </w:p>
    <w:p w14:paraId="00000263" w14:textId="77777777" w:rsidR="007F09CB" w:rsidRPr="0053072A" w:rsidRDefault="00DB28EC">
      <w:pPr>
        <w:numPr>
          <w:ilvl w:val="0"/>
          <w:numId w:val="15"/>
        </w:numPr>
        <w:rPr>
          <w:lang w:val="lv-LV"/>
        </w:rPr>
      </w:pPr>
      <w:r w:rsidRPr="0053072A">
        <w:rPr>
          <w:lang w:val="lv-LV"/>
        </w:rPr>
        <w:t>Drošības rezervju rotācijas izmaksas;</w:t>
      </w:r>
    </w:p>
    <w:p w14:paraId="00000264" w14:textId="77777777" w:rsidR="007F09CB" w:rsidRPr="0053072A" w:rsidRDefault="00DB28EC">
      <w:pPr>
        <w:numPr>
          <w:ilvl w:val="0"/>
          <w:numId w:val="15"/>
        </w:numPr>
        <w:rPr>
          <w:lang w:val="lv-LV"/>
        </w:rPr>
      </w:pPr>
      <w:r w:rsidRPr="0053072A">
        <w:rPr>
          <w:lang w:val="lv-LV"/>
        </w:rPr>
        <w:t>Drošības rezervju apdrošināšana;</w:t>
      </w:r>
    </w:p>
    <w:p w14:paraId="00000265" w14:textId="77777777" w:rsidR="007F09CB" w:rsidRPr="0053072A" w:rsidRDefault="00DB28EC">
      <w:pPr>
        <w:numPr>
          <w:ilvl w:val="0"/>
          <w:numId w:val="15"/>
        </w:numPr>
        <w:rPr>
          <w:lang w:val="lv-LV"/>
        </w:rPr>
      </w:pPr>
      <w:r w:rsidRPr="0053072A">
        <w:rPr>
          <w:lang w:val="lv-LV"/>
        </w:rPr>
        <w:t>Uzglabāšanas infrastruktūras pakalpojuma sniedzēja peļņas daļa, kas ietver arī komercrisku.</w:t>
      </w:r>
    </w:p>
    <w:p w14:paraId="00000266" w14:textId="77777777" w:rsidR="007F09CB" w:rsidRPr="0053072A" w:rsidRDefault="00DB28EC">
      <w:pPr>
        <w:rPr>
          <w:lang w:val="lv-LV"/>
        </w:rPr>
      </w:pPr>
      <w:r w:rsidRPr="0053072A">
        <w:rPr>
          <w:lang w:val="lv-LV"/>
        </w:rPr>
        <w:t>Modelī, kad drošības rezerves pieder valstij, infrastruktūras pakalpojuma cena ietver sekojošus faktorus:</w:t>
      </w:r>
    </w:p>
    <w:p w14:paraId="00000267" w14:textId="77777777" w:rsidR="007F09CB" w:rsidRPr="0053072A" w:rsidRDefault="00DB28EC">
      <w:pPr>
        <w:numPr>
          <w:ilvl w:val="0"/>
          <w:numId w:val="15"/>
        </w:numPr>
        <w:rPr>
          <w:lang w:val="lv-LV"/>
        </w:rPr>
      </w:pPr>
      <w:r w:rsidRPr="0053072A">
        <w:rPr>
          <w:lang w:val="lv-LV"/>
        </w:rPr>
        <w:t>Uzglabāšanas termināļu nomas maksa;</w:t>
      </w:r>
    </w:p>
    <w:p w14:paraId="00000268" w14:textId="77777777" w:rsidR="007F09CB" w:rsidRPr="0053072A" w:rsidRDefault="00DB28EC">
      <w:pPr>
        <w:numPr>
          <w:ilvl w:val="0"/>
          <w:numId w:val="15"/>
        </w:numPr>
        <w:rPr>
          <w:lang w:val="lv-LV"/>
        </w:rPr>
      </w:pPr>
      <w:r w:rsidRPr="0053072A">
        <w:rPr>
          <w:lang w:val="lv-LV"/>
        </w:rPr>
        <w:t>Drošības rezervju rotācijas izmaksas;</w:t>
      </w:r>
    </w:p>
    <w:p w14:paraId="00000269" w14:textId="77777777" w:rsidR="007F09CB" w:rsidRPr="0053072A" w:rsidRDefault="00DB28EC">
      <w:pPr>
        <w:numPr>
          <w:ilvl w:val="0"/>
          <w:numId w:val="15"/>
        </w:numPr>
        <w:rPr>
          <w:lang w:val="lv-LV"/>
        </w:rPr>
      </w:pPr>
      <w:r w:rsidRPr="0053072A">
        <w:rPr>
          <w:lang w:val="lv-LV"/>
        </w:rPr>
        <w:t>Drošības rezervju apdrošināšana;</w:t>
      </w:r>
    </w:p>
    <w:p w14:paraId="0000026A" w14:textId="77777777" w:rsidR="007F09CB" w:rsidRPr="0053072A" w:rsidRDefault="00DB28EC">
      <w:pPr>
        <w:numPr>
          <w:ilvl w:val="0"/>
          <w:numId w:val="15"/>
        </w:numPr>
        <w:rPr>
          <w:lang w:val="lv-LV"/>
        </w:rPr>
      </w:pPr>
      <w:r w:rsidRPr="0053072A">
        <w:rPr>
          <w:lang w:val="lv-LV"/>
        </w:rPr>
        <w:t>Aģentūras administratīvās izmaksas;</w:t>
      </w:r>
    </w:p>
    <w:p w14:paraId="0000026B" w14:textId="541B3539" w:rsidR="007F09CB" w:rsidRDefault="00DB28EC">
      <w:pPr>
        <w:numPr>
          <w:ilvl w:val="0"/>
          <w:numId w:val="15"/>
        </w:numPr>
        <w:rPr>
          <w:lang w:val="lv-LV"/>
        </w:rPr>
      </w:pPr>
      <w:r w:rsidRPr="0053072A">
        <w:rPr>
          <w:lang w:val="lv-LV"/>
        </w:rPr>
        <w:t>Uzglabāšanas infrastruktūras pakalpojuma sniedzēja peļņas daļa.</w:t>
      </w:r>
    </w:p>
    <w:p w14:paraId="32D5B847" w14:textId="4C0B5D33" w:rsidR="006A5E49" w:rsidRDefault="006A5E49" w:rsidP="006A5E49">
      <w:pPr>
        <w:rPr>
          <w:lang w:val="lv-LV"/>
        </w:rPr>
      </w:pPr>
    </w:p>
    <w:p w14:paraId="6B034C76" w14:textId="78992A06" w:rsidR="006A5E49" w:rsidRDefault="006A5E49" w:rsidP="006A5E49">
      <w:pPr>
        <w:rPr>
          <w:lang w:val="lv-LV"/>
        </w:rPr>
      </w:pPr>
    </w:p>
    <w:p w14:paraId="26EE1C65" w14:textId="17C41E0B" w:rsidR="006A5E49" w:rsidRDefault="006A5E49" w:rsidP="006A5E49">
      <w:pPr>
        <w:rPr>
          <w:lang w:val="lv-LV"/>
        </w:rPr>
      </w:pPr>
    </w:p>
    <w:p w14:paraId="59C14D2F" w14:textId="67BADEF6" w:rsidR="006A5E49" w:rsidRDefault="006A5E49" w:rsidP="006A5E49">
      <w:pPr>
        <w:rPr>
          <w:lang w:val="lv-LV"/>
        </w:rPr>
      </w:pPr>
    </w:p>
    <w:p w14:paraId="070869DF" w14:textId="68D25611" w:rsidR="006A5E49" w:rsidRDefault="006A5E49" w:rsidP="006A5E49">
      <w:pPr>
        <w:rPr>
          <w:lang w:val="lv-LV"/>
        </w:rPr>
      </w:pPr>
    </w:p>
    <w:p w14:paraId="683CC402" w14:textId="7E3867E6" w:rsidR="006A5E49" w:rsidRDefault="006A5E49" w:rsidP="006A5E49">
      <w:pPr>
        <w:rPr>
          <w:lang w:val="lv-LV"/>
        </w:rPr>
      </w:pPr>
    </w:p>
    <w:p w14:paraId="54F6E754" w14:textId="1F155643" w:rsidR="006A5E49" w:rsidRDefault="006A5E49" w:rsidP="006A5E49">
      <w:pPr>
        <w:rPr>
          <w:lang w:val="lv-LV"/>
        </w:rPr>
      </w:pPr>
    </w:p>
    <w:p w14:paraId="109B0C87" w14:textId="273C55C3" w:rsidR="006A5E49" w:rsidRDefault="006A5E49" w:rsidP="006A5E49">
      <w:pPr>
        <w:rPr>
          <w:lang w:val="lv-LV"/>
        </w:rPr>
      </w:pPr>
    </w:p>
    <w:p w14:paraId="50B2CE97" w14:textId="76AC4BE5" w:rsidR="006A5E49" w:rsidRDefault="006A5E49" w:rsidP="006A5E49">
      <w:pPr>
        <w:rPr>
          <w:lang w:val="lv-LV"/>
        </w:rPr>
      </w:pPr>
    </w:p>
    <w:p w14:paraId="4AE8969D" w14:textId="77777777" w:rsidR="006A5E49" w:rsidRPr="0053072A" w:rsidRDefault="006A5E49" w:rsidP="006A5E49">
      <w:pPr>
        <w:rPr>
          <w:lang w:val="lv-LV"/>
        </w:rPr>
      </w:pPr>
    </w:p>
    <w:p w14:paraId="0000026C" w14:textId="3F2B2E9B" w:rsidR="007F09CB" w:rsidRPr="0053072A" w:rsidRDefault="00DB28EC" w:rsidP="006A5E49">
      <w:pPr>
        <w:pStyle w:val="Caption"/>
        <w:framePr w:wrap="around"/>
        <w:rPr>
          <w:lang w:val="lv-LV"/>
        </w:rPr>
      </w:pPr>
      <w:r w:rsidRPr="0053072A">
        <w:rPr>
          <w:lang w:val="lv-LV"/>
        </w:rPr>
        <w:lastRenderedPageBreak/>
        <w:t>2</w:t>
      </w:r>
      <w:r w:rsidR="00A651B2">
        <w:rPr>
          <w:lang w:val="lv-LV"/>
        </w:rPr>
        <w:t>2</w:t>
      </w:r>
      <w:r w:rsidRPr="0053072A">
        <w:rPr>
          <w:lang w:val="lv-LV"/>
        </w:rPr>
        <w:t>. attēls. Prognozētās drošības rezervju uzturēšanas infrastruktūras izmaksu izmaiņas, 2023.-2029. gads, milj. EUR</w:t>
      </w:r>
    </w:p>
    <w:p w14:paraId="0000026D" w14:textId="3555BBC3" w:rsidR="007F09CB" w:rsidRPr="0053072A" w:rsidRDefault="006A5E49">
      <w:pPr>
        <w:rPr>
          <w:lang w:val="lv-LV"/>
        </w:rPr>
      </w:pPr>
      <w:r>
        <w:rPr>
          <w:noProof/>
          <w:lang w:val="lv-LV"/>
        </w:rPr>
        <w:drawing>
          <wp:inline distT="0" distB="0" distL="0" distR="0" wp14:anchorId="15BE3323" wp14:editId="6693EDEB">
            <wp:extent cx="5987485" cy="189786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87485" cy="1897861"/>
                    </a:xfrm>
                    <a:prstGeom prst="rect">
                      <a:avLst/>
                    </a:prstGeom>
                    <a:noFill/>
                  </pic:spPr>
                </pic:pic>
              </a:graphicData>
            </a:graphic>
          </wp:inline>
        </w:drawing>
      </w:r>
    </w:p>
    <w:p w14:paraId="0000026E" w14:textId="77777777" w:rsidR="007F09CB" w:rsidRPr="0053072A" w:rsidRDefault="00DB28EC" w:rsidP="006A5E49">
      <w:pPr>
        <w:pStyle w:val="Bottomcaption"/>
        <w:framePr w:wrap="around"/>
        <w:rPr>
          <w:lang w:val="lv-LV"/>
        </w:rPr>
      </w:pPr>
      <w:r w:rsidRPr="0053072A">
        <w:rPr>
          <w:lang w:val="lv-LV"/>
        </w:rPr>
        <w:t>Avots: pētījuma autoru aprēķini</w:t>
      </w:r>
    </w:p>
    <w:p w14:paraId="0000026F" w14:textId="77777777" w:rsidR="007F09CB" w:rsidRPr="0053072A" w:rsidRDefault="00DB28EC">
      <w:pPr>
        <w:rPr>
          <w:lang w:val="lv-LV"/>
        </w:rPr>
      </w:pPr>
      <w:r w:rsidRPr="0053072A">
        <w:rPr>
          <w:lang w:val="lv-LV"/>
        </w:rPr>
        <w:t>Infrastruktūras uzturēšanas izmaksu pieaugums 2025. gadā, saistāms ar to, ka 100% drošības rezerves tiek glabātas Latvijas teritorijā. Turpmāks samazinājums, sākot no 2026. gada saistāms ar noteikto drošības rezervju apjoma potenciālu samazinājumu, kam par pamatu ir iepriekš aprakstītais pieprasījuma kritums pēc naftas produktiem. Otrkārt, samazinājums vērojams, jo arvien lielāka daļa drošības rezervju tiek iegādātas valsts īpašumā, kas kopumā samazina drošības rezervju uzturēšanas izmaksas.</w:t>
      </w:r>
    </w:p>
    <w:p w14:paraId="00000270" w14:textId="1F50567A" w:rsidR="007F09CB" w:rsidRPr="0053072A" w:rsidRDefault="00DB28EC" w:rsidP="006A5E49">
      <w:pPr>
        <w:pStyle w:val="Caption"/>
        <w:framePr w:wrap="around"/>
        <w:rPr>
          <w:lang w:val="lv-LV"/>
        </w:rPr>
      </w:pPr>
      <w:r w:rsidRPr="0053072A">
        <w:rPr>
          <w:lang w:val="lv-LV"/>
        </w:rPr>
        <w:t>2</w:t>
      </w:r>
      <w:r w:rsidR="00A651B2">
        <w:rPr>
          <w:lang w:val="lv-LV"/>
        </w:rPr>
        <w:t>3</w:t>
      </w:r>
      <w:r w:rsidRPr="0053072A">
        <w:rPr>
          <w:lang w:val="lv-LV"/>
        </w:rPr>
        <w:t>. attēls. Drošības rezervju uzturēšanas izmaksu veidojošie aspekti, EUR/t</w:t>
      </w:r>
    </w:p>
    <w:p w14:paraId="00000271" w14:textId="2FA6DA0A" w:rsidR="007F09CB" w:rsidRPr="0053072A" w:rsidRDefault="00B415EA">
      <w:pPr>
        <w:rPr>
          <w:lang w:val="lv-LV"/>
        </w:rPr>
      </w:pPr>
      <w:r>
        <w:rPr>
          <w:noProof/>
          <w:lang w:val="lv-LV"/>
        </w:rPr>
        <w:drawing>
          <wp:inline distT="0" distB="0" distL="0" distR="0" wp14:anchorId="4C24A128" wp14:editId="0FA88CEF">
            <wp:extent cx="5935209" cy="306150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54856" cy="3071638"/>
                    </a:xfrm>
                    <a:prstGeom prst="rect">
                      <a:avLst/>
                    </a:prstGeom>
                    <a:noFill/>
                  </pic:spPr>
                </pic:pic>
              </a:graphicData>
            </a:graphic>
          </wp:inline>
        </w:drawing>
      </w:r>
    </w:p>
    <w:p w14:paraId="00000272" w14:textId="77777777" w:rsidR="007F09CB" w:rsidRPr="0053072A" w:rsidRDefault="00DB28EC" w:rsidP="006A5E49">
      <w:pPr>
        <w:pStyle w:val="Bottomcaption"/>
        <w:framePr w:wrap="around"/>
        <w:rPr>
          <w:lang w:val="lv-LV"/>
        </w:rPr>
      </w:pPr>
      <w:r w:rsidRPr="0053072A">
        <w:rPr>
          <w:lang w:val="lv-LV"/>
        </w:rPr>
        <w:t>Avots: pētījuma autoru aprēķini</w:t>
      </w:r>
    </w:p>
    <w:p w14:paraId="00000274" w14:textId="417C7CD2" w:rsidR="007F09CB" w:rsidRPr="0053072A" w:rsidRDefault="00DB28EC">
      <w:pPr>
        <w:rPr>
          <w:lang w:val="lv-LV"/>
        </w:rPr>
      </w:pPr>
      <w:r w:rsidRPr="0053072A">
        <w:rPr>
          <w:lang w:val="lv-LV"/>
        </w:rPr>
        <w:t>2</w:t>
      </w:r>
      <w:r w:rsidR="00793C18">
        <w:rPr>
          <w:lang w:val="lv-LV"/>
        </w:rPr>
        <w:t>3</w:t>
      </w:r>
      <w:r w:rsidRPr="0053072A">
        <w:rPr>
          <w:lang w:val="lv-LV"/>
        </w:rPr>
        <w:t>. attēlā tiek vizualizēti drošības rezervju uzturēšanas izmaksu veidojošie aspekti:</w:t>
      </w:r>
    </w:p>
    <w:p w14:paraId="00000275" w14:textId="77777777" w:rsidR="007F09CB" w:rsidRPr="0053072A" w:rsidRDefault="00DB28EC">
      <w:pPr>
        <w:numPr>
          <w:ilvl w:val="0"/>
          <w:numId w:val="11"/>
        </w:numPr>
        <w:pBdr>
          <w:top w:val="nil"/>
          <w:left w:val="nil"/>
          <w:bottom w:val="nil"/>
          <w:right w:val="nil"/>
          <w:between w:val="nil"/>
        </w:pBdr>
        <w:spacing w:after="0"/>
        <w:rPr>
          <w:rFonts w:ascii="Calibri" w:hAnsi="Calibri" w:cs="Calibri"/>
          <w:color w:val="000000"/>
          <w:lang w:val="lv-LV"/>
        </w:rPr>
      </w:pPr>
      <w:r w:rsidRPr="0053072A">
        <w:rPr>
          <w:rFonts w:ascii="Calibri" w:hAnsi="Calibri" w:cs="Calibri"/>
          <w:color w:val="000000"/>
          <w:lang w:val="lv-LV"/>
        </w:rPr>
        <w:t>Apdrošināšanas tarifs tonnā tiek pieņemts kā 0,25 EUR/t. Šī informācija iegūta no intervijām, kas veiktas ar industrijas pārstāvjiem un var būt mainīgs lielums atkarībā no pakalpojuma piegādātāja un tā īstenotās cenu politikas;</w:t>
      </w:r>
    </w:p>
    <w:p w14:paraId="00000276" w14:textId="77777777" w:rsidR="007F09CB" w:rsidRPr="0053072A" w:rsidRDefault="00DB28EC">
      <w:pPr>
        <w:numPr>
          <w:ilvl w:val="0"/>
          <w:numId w:val="11"/>
        </w:num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Atalgojuma izmaksas tiek aprēķinātas kopējās atalgojuma izmaksas dalot ar vidējo prognozēto naftas rezervju apjomu (299 162 t).</w:t>
      </w:r>
    </w:p>
    <w:p w14:paraId="00000277" w14:textId="77777777" w:rsidR="007F09CB" w:rsidRPr="0053072A" w:rsidRDefault="00DB28EC">
      <w:pPr>
        <w:rPr>
          <w:lang w:val="lv-LV"/>
        </w:rPr>
      </w:pPr>
      <w:r w:rsidRPr="0053072A">
        <w:rPr>
          <w:lang w:val="lv-LV"/>
        </w:rPr>
        <w:lastRenderedPageBreak/>
        <w:t>Drošības rezervju uzturēšanas izmaksas aprēķinātas par 1 tonnas uzturēšanu gadā. Kā redzams, lielāko daļu (90%) sastāda uzglabāšanas infrastruktūras nomas izmaksas, kam seko rotācijas izmaksas (7%). Ņemot vērā šo aspektu, secināms, ka, gadījumā, ja nav iespējams ekonomiski izdevīgi veikt drošības rezervju rotācijas procesu un, ja netiek riskēts pārsniegt rotācijas veikšanas vēlamo termiņu, tad, neveicot rotāciju, ir iespējams ietaupīt 7% no uzturēšanas izmaksām (ja rotācijas izmaksas nav iekļautas infrastruktūras nomas tarifa bāzes likmē).</w:t>
      </w:r>
    </w:p>
    <w:p w14:paraId="00000278" w14:textId="77777777" w:rsidR="007F09CB" w:rsidRPr="0053072A" w:rsidRDefault="00DB28EC">
      <w:pPr>
        <w:rPr>
          <w:lang w:val="lv-LV"/>
        </w:rPr>
      </w:pPr>
      <w:r w:rsidRPr="0053072A">
        <w:rPr>
          <w:lang w:val="lv-LV"/>
        </w:rPr>
        <w:t>No šī sadalījuma ir secināms, ka visvairāk uzturēšanas izmaksu kopsummu var ietekmēt izmaiņas uzturēšanas infrastruktūras nomas tarifā, kas nozīmē, ka infrastruktūras nodrošinātājiem ir augsta ietekme uz drošības rezervju uzturēšanas izmaksu līmeni. Ņemot vērā, ka Latvijā nav novērojams monopola vai oligopola statuss nevienam no infrastruktūras uzturēšanas uzņēmumiem vai uzņēmumu grupām, tad šis risks tiek mazināts rīkojot iepirkumu par infrastruktūras uzturēšanas pakalpojuma sniegšanu, kura rezultātā ir iespējams izvēlēties piegādātājus, kas piedāvājuši izdevīgāko nomas tarifu. Jāņem vērā, ka nav ieteicams izvēlēties ļoti nelielu skaitu ar infrastruktūras uzturēšanas pakalpojumu sniedzējiem, jo tas var radīt stratēģiska rakstura risku.</w:t>
      </w:r>
    </w:p>
    <w:p w14:paraId="00000279" w14:textId="628A41B7" w:rsidR="007F09CB" w:rsidRPr="0053072A" w:rsidRDefault="00DB28EC" w:rsidP="00B415EA">
      <w:pPr>
        <w:pStyle w:val="Caption"/>
        <w:framePr w:wrap="around"/>
        <w:rPr>
          <w:lang w:val="lv-LV"/>
        </w:rPr>
      </w:pPr>
      <w:r w:rsidRPr="0053072A">
        <w:rPr>
          <w:lang w:val="lv-LV"/>
        </w:rPr>
        <w:t>2</w:t>
      </w:r>
      <w:r w:rsidR="00793C18">
        <w:rPr>
          <w:lang w:val="lv-LV"/>
        </w:rPr>
        <w:t>4</w:t>
      </w:r>
      <w:r w:rsidRPr="0053072A">
        <w:rPr>
          <w:lang w:val="lv-LV"/>
        </w:rPr>
        <w:t>. attēls. Infrastruktūras uzturēšanas izmaksu salīdzinājums dažādu uzglabāšanas modeļu ietvaros, EUR/t</w:t>
      </w:r>
    </w:p>
    <w:p w14:paraId="0000027A" w14:textId="2BC5B1DD" w:rsidR="007F09CB" w:rsidRPr="0053072A" w:rsidRDefault="00EA423C">
      <w:pPr>
        <w:rPr>
          <w:lang w:val="lv-LV"/>
        </w:rPr>
      </w:pPr>
      <w:r>
        <w:rPr>
          <w:noProof/>
          <w:lang w:val="lv-LV"/>
        </w:rPr>
        <w:drawing>
          <wp:inline distT="0" distB="0" distL="0" distR="0" wp14:anchorId="0483F59E" wp14:editId="0C3F3059">
            <wp:extent cx="5952947" cy="281264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76194" cy="2823632"/>
                    </a:xfrm>
                    <a:prstGeom prst="rect">
                      <a:avLst/>
                    </a:prstGeom>
                    <a:noFill/>
                  </pic:spPr>
                </pic:pic>
              </a:graphicData>
            </a:graphic>
          </wp:inline>
        </w:drawing>
      </w:r>
    </w:p>
    <w:p w14:paraId="0000027B" w14:textId="77777777" w:rsidR="007F09CB" w:rsidRPr="0053072A" w:rsidRDefault="00DB28EC" w:rsidP="00B415EA">
      <w:pPr>
        <w:pStyle w:val="Bottomcaption"/>
        <w:framePr w:wrap="around"/>
        <w:rPr>
          <w:lang w:val="lv-LV"/>
        </w:rPr>
      </w:pPr>
      <w:r w:rsidRPr="0053072A">
        <w:rPr>
          <w:lang w:val="lv-LV"/>
        </w:rPr>
        <w:t>Avots: pētījuma autoru aprēķini</w:t>
      </w:r>
    </w:p>
    <w:p w14:paraId="0000027C" w14:textId="77777777" w:rsidR="007F09CB" w:rsidRPr="0053072A" w:rsidRDefault="00DB28EC">
      <w:pPr>
        <w:rPr>
          <w:lang w:val="lv-LV"/>
        </w:rPr>
      </w:pPr>
      <w:r w:rsidRPr="0053072A">
        <w:rPr>
          <w:lang w:val="lv-LV"/>
        </w:rPr>
        <w:t xml:space="preserve">Salīdzinot 2021. gada drošības rezervju uzturēšanas iepirkuma tarifus ar 2029. gada (2028. un 2029. gads ir gadi, kad visas drošības rezerves ir Latvijas valsts īpašumā) prognozēto drošības rezervju uzturēšanas cenu, redzams, ka tā ir par 16,38 EUR jeb 29% zemāka nekā 2021. gada drošības rezervju iepirkuma vidējā svērtā cena, ko piedāvājuši Latvijas infrastruktūras uzturēšanas pakalpojumu sniedzēji. </w:t>
      </w:r>
    </w:p>
    <w:p w14:paraId="0000027D" w14:textId="77777777" w:rsidR="007F09CB" w:rsidRPr="0053072A" w:rsidRDefault="00DB28EC">
      <w:pPr>
        <w:rPr>
          <w:lang w:val="lv-LV"/>
        </w:rPr>
      </w:pPr>
      <w:r w:rsidRPr="0053072A">
        <w:rPr>
          <w:lang w:val="lv-LV"/>
        </w:rPr>
        <w:t xml:space="preserve">Ārzemju komersantu vidējā svērtā cena ir krietni zemāka nekā Latvijas komersantu piedāvāto cenu līmenis, tomēr, svarīgi vērtēt potenciālās piegādes izmaksas un piegādes faktisko iespējamību krīzes situācijā, kad drošības rezerves būtu jāpiegādā Latvijas valstij. </w:t>
      </w:r>
    </w:p>
    <w:p w14:paraId="0000027E" w14:textId="77777777" w:rsidR="007F09CB" w:rsidRPr="0053072A" w:rsidRDefault="00DB28EC">
      <w:pPr>
        <w:rPr>
          <w:lang w:val="lv-LV"/>
        </w:rPr>
        <w:sectPr w:rsidR="007F09CB" w:rsidRPr="0053072A">
          <w:pgSz w:w="11907" w:h="16839"/>
          <w:pgMar w:top="1440" w:right="1022" w:bottom="1152" w:left="1440" w:header="706" w:footer="283" w:gutter="0"/>
          <w:cols w:space="720"/>
        </w:sectPr>
      </w:pPr>
      <w:r w:rsidRPr="0053072A">
        <w:rPr>
          <w:lang w:val="lv-LV"/>
        </w:rPr>
        <w:t xml:space="preserve">2021. gada augstais Latvijas komersantu vidējais svērtais tarifs daļēji ir skaidrojams ar komersanta Vitol SA piedāvāto tarifu, kas ir 60 EUR/t, jo pie šī komersanta tika uzturēts 91% no Latvijas drošības rezervēm. </w:t>
      </w:r>
    </w:p>
    <w:p w14:paraId="0000027F" w14:textId="77777777" w:rsidR="007F09CB" w:rsidRPr="0053072A" w:rsidRDefault="00DB28EC">
      <w:pPr>
        <w:pStyle w:val="Heading2"/>
        <w:numPr>
          <w:ilvl w:val="1"/>
          <w:numId w:val="10"/>
        </w:numPr>
        <w:ind w:left="0" w:firstLine="0"/>
        <w:rPr>
          <w:lang w:val="lv-LV"/>
        </w:rPr>
      </w:pPr>
      <w:bookmarkStart w:id="23" w:name="_Toc98774220"/>
      <w:r w:rsidRPr="0053072A">
        <w:rPr>
          <w:lang w:val="lv-LV"/>
        </w:rPr>
        <w:lastRenderedPageBreak/>
        <w:t>Aģentūras peļņas un zaudējumu aprēķins un bilance 2023.-2029. gadam</w:t>
      </w:r>
      <w:bookmarkEnd w:id="23"/>
    </w:p>
    <w:p w14:paraId="6C263DA2" w14:textId="77777777" w:rsidR="00EA423C" w:rsidRDefault="00EA423C">
      <w:pPr>
        <w:keepNext/>
        <w:pBdr>
          <w:top w:val="nil"/>
          <w:left w:val="nil"/>
          <w:bottom w:val="nil"/>
          <w:right w:val="nil"/>
          <w:between w:val="nil"/>
        </w:pBdr>
        <w:spacing w:before="240"/>
        <w:jc w:val="left"/>
        <w:rPr>
          <w:lang w:val="lv-LV"/>
        </w:rPr>
      </w:pPr>
      <w:r w:rsidRPr="0053072A">
        <w:rPr>
          <w:lang w:val="lv-LV"/>
        </w:rPr>
        <w:t>Balstoties uz iepriekš aprakstīto metodoloģiju un uz tā pamata veidotajiem finanšu aprēķiniem, tālāk tiek norādīts aģentūras peļņas un zaudējumu aprēķins un bilance pētījuma ietvaros skatītajam laika periodam – 2023.-2029. gadam.</w:t>
      </w:r>
    </w:p>
    <w:p w14:paraId="00000281" w14:textId="12175801" w:rsidR="007F09CB" w:rsidRPr="00EA423C" w:rsidRDefault="00DB28EC" w:rsidP="00EA423C">
      <w:pPr>
        <w:pStyle w:val="Caption"/>
        <w:framePr w:wrap="around"/>
        <w:spacing w:before="120"/>
        <w:rPr>
          <w:lang w:val="lv-LV"/>
        </w:rPr>
      </w:pPr>
      <w:r w:rsidRPr="0053072A">
        <w:rPr>
          <w:lang w:val="lv-LV"/>
        </w:rPr>
        <w:t>Tabula 6. Prognozētais aģentūras peļņas un zaudējumu aprēķins, 2023.-2029. gads</w:t>
      </w:r>
    </w:p>
    <w:tbl>
      <w:tblPr>
        <w:tblStyle w:val="aff0"/>
        <w:tblW w:w="14300" w:type="dxa"/>
        <w:tblInd w:w="11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600" w:firstRow="0" w:lastRow="0" w:firstColumn="0" w:lastColumn="0" w:noHBand="1" w:noVBand="1"/>
      </w:tblPr>
      <w:tblGrid>
        <w:gridCol w:w="5925"/>
        <w:gridCol w:w="1196"/>
        <w:gridCol w:w="1196"/>
        <w:gridCol w:w="1197"/>
        <w:gridCol w:w="1196"/>
        <w:gridCol w:w="1197"/>
        <w:gridCol w:w="1196"/>
        <w:gridCol w:w="1197"/>
      </w:tblGrid>
      <w:tr w:rsidR="007F09CB" w:rsidRPr="0053072A" w14:paraId="60432F3C" w14:textId="77777777">
        <w:trPr>
          <w:trHeight w:val="17"/>
        </w:trPr>
        <w:tc>
          <w:tcPr>
            <w:tcW w:w="5925" w:type="dxa"/>
            <w:shd w:val="clear" w:color="auto" w:fill="134753"/>
            <w:tcMar>
              <w:top w:w="100" w:type="dxa"/>
              <w:left w:w="100" w:type="dxa"/>
              <w:bottom w:w="100" w:type="dxa"/>
              <w:right w:w="100" w:type="dxa"/>
            </w:tcMar>
            <w:vAlign w:val="center"/>
          </w:tcPr>
          <w:p w14:paraId="00000282" w14:textId="77777777" w:rsidR="007F09CB" w:rsidRPr="0053072A" w:rsidRDefault="00DB28EC" w:rsidP="00EA423C">
            <w:pPr>
              <w:spacing w:before="0" w:after="0"/>
              <w:jc w:val="left"/>
              <w:rPr>
                <w:color w:val="FFFFFF"/>
                <w:lang w:val="lv-LV"/>
              </w:rPr>
            </w:pPr>
            <w:r w:rsidRPr="0053072A">
              <w:rPr>
                <w:color w:val="FFFFFF"/>
                <w:lang w:val="lv-LV"/>
              </w:rPr>
              <w:t>Pozīcija</w:t>
            </w:r>
          </w:p>
        </w:tc>
        <w:tc>
          <w:tcPr>
            <w:tcW w:w="1196" w:type="dxa"/>
            <w:shd w:val="clear" w:color="auto" w:fill="134753"/>
            <w:tcMar>
              <w:top w:w="100" w:type="dxa"/>
              <w:left w:w="100" w:type="dxa"/>
              <w:bottom w:w="100" w:type="dxa"/>
              <w:right w:w="100" w:type="dxa"/>
            </w:tcMar>
            <w:vAlign w:val="center"/>
          </w:tcPr>
          <w:p w14:paraId="00000283" w14:textId="77777777" w:rsidR="007F09CB" w:rsidRPr="0053072A" w:rsidRDefault="00DB28EC" w:rsidP="00EA423C">
            <w:pPr>
              <w:spacing w:before="0" w:after="0"/>
              <w:jc w:val="center"/>
              <w:rPr>
                <w:color w:val="FFFFFF"/>
                <w:lang w:val="lv-LV"/>
              </w:rPr>
            </w:pPr>
            <w:r w:rsidRPr="0053072A">
              <w:rPr>
                <w:color w:val="FFFFFF"/>
                <w:lang w:val="lv-LV"/>
              </w:rPr>
              <w:t>2023</w:t>
            </w:r>
          </w:p>
        </w:tc>
        <w:tc>
          <w:tcPr>
            <w:tcW w:w="1196" w:type="dxa"/>
            <w:shd w:val="clear" w:color="auto" w:fill="134753"/>
            <w:tcMar>
              <w:top w:w="100" w:type="dxa"/>
              <w:left w:w="100" w:type="dxa"/>
              <w:bottom w:w="100" w:type="dxa"/>
              <w:right w:w="100" w:type="dxa"/>
            </w:tcMar>
            <w:vAlign w:val="center"/>
          </w:tcPr>
          <w:p w14:paraId="00000284" w14:textId="77777777" w:rsidR="007F09CB" w:rsidRPr="0053072A" w:rsidRDefault="00DB28EC" w:rsidP="00EA423C">
            <w:pPr>
              <w:spacing w:before="0" w:after="0"/>
              <w:jc w:val="center"/>
              <w:rPr>
                <w:color w:val="FFFFFF"/>
                <w:lang w:val="lv-LV"/>
              </w:rPr>
            </w:pPr>
            <w:r w:rsidRPr="0053072A">
              <w:rPr>
                <w:color w:val="FFFFFF"/>
                <w:lang w:val="lv-LV"/>
              </w:rPr>
              <w:t>2024</w:t>
            </w:r>
          </w:p>
        </w:tc>
        <w:tc>
          <w:tcPr>
            <w:tcW w:w="1197" w:type="dxa"/>
            <w:shd w:val="clear" w:color="auto" w:fill="134753"/>
            <w:tcMar>
              <w:top w:w="100" w:type="dxa"/>
              <w:left w:w="100" w:type="dxa"/>
              <w:bottom w:w="100" w:type="dxa"/>
              <w:right w:w="100" w:type="dxa"/>
            </w:tcMar>
            <w:vAlign w:val="center"/>
          </w:tcPr>
          <w:p w14:paraId="00000285" w14:textId="77777777" w:rsidR="007F09CB" w:rsidRPr="0053072A" w:rsidRDefault="00DB28EC" w:rsidP="00EA423C">
            <w:pPr>
              <w:spacing w:before="0" w:after="0"/>
              <w:jc w:val="center"/>
              <w:rPr>
                <w:color w:val="FFFFFF"/>
                <w:lang w:val="lv-LV"/>
              </w:rPr>
            </w:pPr>
            <w:r w:rsidRPr="0053072A">
              <w:rPr>
                <w:color w:val="FFFFFF"/>
                <w:lang w:val="lv-LV"/>
              </w:rPr>
              <w:t>2025</w:t>
            </w:r>
          </w:p>
        </w:tc>
        <w:tc>
          <w:tcPr>
            <w:tcW w:w="1196" w:type="dxa"/>
            <w:shd w:val="clear" w:color="auto" w:fill="134753"/>
            <w:tcMar>
              <w:top w:w="100" w:type="dxa"/>
              <w:left w:w="100" w:type="dxa"/>
              <w:bottom w:w="100" w:type="dxa"/>
              <w:right w:w="100" w:type="dxa"/>
            </w:tcMar>
            <w:vAlign w:val="center"/>
          </w:tcPr>
          <w:p w14:paraId="00000286" w14:textId="77777777" w:rsidR="007F09CB" w:rsidRPr="0053072A" w:rsidRDefault="00DB28EC" w:rsidP="00EA423C">
            <w:pPr>
              <w:spacing w:before="0" w:after="0"/>
              <w:jc w:val="center"/>
              <w:rPr>
                <w:color w:val="FFFFFF"/>
                <w:lang w:val="lv-LV"/>
              </w:rPr>
            </w:pPr>
            <w:r w:rsidRPr="0053072A">
              <w:rPr>
                <w:color w:val="FFFFFF"/>
                <w:lang w:val="lv-LV"/>
              </w:rPr>
              <w:t>2026</w:t>
            </w:r>
          </w:p>
        </w:tc>
        <w:tc>
          <w:tcPr>
            <w:tcW w:w="1197" w:type="dxa"/>
            <w:shd w:val="clear" w:color="auto" w:fill="134753"/>
            <w:tcMar>
              <w:top w:w="100" w:type="dxa"/>
              <w:left w:w="100" w:type="dxa"/>
              <w:bottom w:w="100" w:type="dxa"/>
              <w:right w:w="100" w:type="dxa"/>
            </w:tcMar>
            <w:vAlign w:val="center"/>
          </w:tcPr>
          <w:p w14:paraId="00000287" w14:textId="77777777" w:rsidR="007F09CB" w:rsidRPr="0053072A" w:rsidRDefault="00DB28EC" w:rsidP="00EA423C">
            <w:pPr>
              <w:spacing w:before="0" w:after="0"/>
              <w:jc w:val="center"/>
              <w:rPr>
                <w:color w:val="FFFFFF"/>
                <w:lang w:val="lv-LV"/>
              </w:rPr>
            </w:pPr>
            <w:r w:rsidRPr="0053072A">
              <w:rPr>
                <w:color w:val="FFFFFF"/>
                <w:lang w:val="lv-LV"/>
              </w:rPr>
              <w:t>2027</w:t>
            </w:r>
          </w:p>
        </w:tc>
        <w:tc>
          <w:tcPr>
            <w:tcW w:w="1196" w:type="dxa"/>
            <w:shd w:val="clear" w:color="auto" w:fill="134753"/>
            <w:tcMar>
              <w:top w:w="100" w:type="dxa"/>
              <w:left w:w="100" w:type="dxa"/>
              <w:bottom w:w="100" w:type="dxa"/>
              <w:right w:w="100" w:type="dxa"/>
            </w:tcMar>
            <w:vAlign w:val="center"/>
          </w:tcPr>
          <w:p w14:paraId="00000288" w14:textId="77777777" w:rsidR="007F09CB" w:rsidRPr="0053072A" w:rsidRDefault="00DB28EC" w:rsidP="00EA423C">
            <w:pPr>
              <w:spacing w:before="0" w:after="0"/>
              <w:jc w:val="center"/>
              <w:rPr>
                <w:color w:val="FFFFFF"/>
                <w:lang w:val="lv-LV"/>
              </w:rPr>
            </w:pPr>
            <w:r w:rsidRPr="0053072A">
              <w:rPr>
                <w:color w:val="FFFFFF"/>
                <w:lang w:val="lv-LV"/>
              </w:rPr>
              <w:t>2028</w:t>
            </w:r>
          </w:p>
        </w:tc>
        <w:tc>
          <w:tcPr>
            <w:tcW w:w="1197" w:type="dxa"/>
            <w:shd w:val="clear" w:color="auto" w:fill="134753"/>
            <w:tcMar>
              <w:top w:w="100" w:type="dxa"/>
              <w:left w:w="100" w:type="dxa"/>
              <w:bottom w:w="100" w:type="dxa"/>
              <w:right w:w="100" w:type="dxa"/>
            </w:tcMar>
            <w:vAlign w:val="center"/>
          </w:tcPr>
          <w:p w14:paraId="00000289" w14:textId="77777777" w:rsidR="007F09CB" w:rsidRPr="0053072A" w:rsidRDefault="00DB28EC" w:rsidP="00EA423C">
            <w:pPr>
              <w:spacing w:before="0" w:after="0"/>
              <w:jc w:val="center"/>
              <w:rPr>
                <w:color w:val="FFFFFF"/>
                <w:lang w:val="lv-LV"/>
              </w:rPr>
            </w:pPr>
            <w:r w:rsidRPr="0053072A">
              <w:rPr>
                <w:color w:val="FFFFFF"/>
                <w:lang w:val="lv-LV"/>
              </w:rPr>
              <w:t>2029</w:t>
            </w:r>
          </w:p>
        </w:tc>
      </w:tr>
      <w:tr w:rsidR="007F09CB" w:rsidRPr="0053072A" w14:paraId="0C77E83E" w14:textId="77777777">
        <w:trPr>
          <w:trHeight w:val="23"/>
        </w:trPr>
        <w:tc>
          <w:tcPr>
            <w:tcW w:w="5925" w:type="dxa"/>
            <w:shd w:val="clear" w:color="auto" w:fill="D9D9D9"/>
            <w:tcMar>
              <w:top w:w="100" w:type="dxa"/>
              <w:left w:w="100" w:type="dxa"/>
              <w:bottom w:w="100" w:type="dxa"/>
              <w:right w:w="100" w:type="dxa"/>
            </w:tcMar>
          </w:tcPr>
          <w:p w14:paraId="0000028A" w14:textId="77777777" w:rsidR="007F09CB" w:rsidRPr="00EA423C" w:rsidRDefault="00DB28EC" w:rsidP="00EA423C">
            <w:pPr>
              <w:spacing w:before="0" w:after="0"/>
              <w:rPr>
                <w:b w:val="0"/>
                <w:bCs w:val="0"/>
                <w:lang w:val="lv-LV"/>
              </w:rPr>
            </w:pPr>
            <w:r w:rsidRPr="00EA423C">
              <w:rPr>
                <w:b w:val="0"/>
                <w:bCs w:val="0"/>
                <w:lang w:val="lv-LV"/>
              </w:rPr>
              <w:t>Ienākumi (iekasētā valsts nodeva, ieņēmumi no drošības rezervju pārdošanas, ja pārsniegta noteiktā apjoma norma)</w:t>
            </w:r>
          </w:p>
        </w:tc>
        <w:tc>
          <w:tcPr>
            <w:tcW w:w="1196" w:type="dxa"/>
            <w:shd w:val="clear" w:color="auto" w:fill="D9D9D9"/>
            <w:tcMar>
              <w:top w:w="100" w:type="dxa"/>
              <w:left w:w="100" w:type="dxa"/>
              <w:bottom w:w="100" w:type="dxa"/>
              <w:right w:w="100" w:type="dxa"/>
            </w:tcMar>
            <w:vAlign w:val="center"/>
          </w:tcPr>
          <w:p w14:paraId="0000028B" w14:textId="77777777" w:rsidR="007F09CB" w:rsidRPr="00EA423C" w:rsidRDefault="00DB28EC" w:rsidP="00EA423C">
            <w:pPr>
              <w:spacing w:before="0" w:after="0"/>
              <w:jc w:val="center"/>
              <w:rPr>
                <w:b w:val="0"/>
                <w:bCs w:val="0"/>
                <w:lang w:val="lv-LV"/>
              </w:rPr>
            </w:pPr>
            <w:r w:rsidRPr="00EA423C">
              <w:rPr>
                <w:b w:val="0"/>
                <w:bCs w:val="0"/>
                <w:lang w:val="lv-LV"/>
              </w:rPr>
              <w:t>24 703 844</w:t>
            </w:r>
          </w:p>
        </w:tc>
        <w:tc>
          <w:tcPr>
            <w:tcW w:w="1196" w:type="dxa"/>
            <w:shd w:val="clear" w:color="auto" w:fill="D9D9D9"/>
            <w:tcMar>
              <w:top w:w="100" w:type="dxa"/>
              <w:left w:w="100" w:type="dxa"/>
              <w:bottom w:w="100" w:type="dxa"/>
              <w:right w:w="100" w:type="dxa"/>
            </w:tcMar>
            <w:vAlign w:val="center"/>
          </w:tcPr>
          <w:p w14:paraId="0000028C" w14:textId="77777777" w:rsidR="007F09CB" w:rsidRPr="00EA423C" w:rsidRDefault="00DB28EC" w:rsidP="00EA423C">
            <w:pPr>
              <w:spacing w:before="0" w:after="0"/>
              <w:jc w:val="center"/>
              <w:rPr>
                <w:b w:val="0"/>
                <w:bCs w:val="0"/>
                <w:lang w:val="lv-LV"/>
              </w:rPr>
            </w:pPr>
            <w:r w:rsidRPr="00EA423C">
              <w:rPr>
                <w:b w:val="0"/>
                <w:bCs w:val="0"/>
                <w:lang w:val="lv-LV"/>
              </w:rPr>
              <w:t>24 520 853</w:t>
            </w:r>
          </w:p>
        </w:tc>
        <w:tc>
          <w:tcPr>
            <w:tcW w:w="1197" w:type="dxa"/>
            <w:shd w:val="clear" w:color="auto" w:fill="D9D9D9"/>
            <w:tcMar>
              <w:top w:w="100" w:type="dxa"/>
              <w:left w:w="100" w:type="dxa"/>
              <w:bottom w:w="100" w:type="dxa"/>
              <w:right w:w="100" w:type="dxa"/>
            </w:tcMar>
            <w:vAlign w:val="center"/>
          </w:tcPr>
          <w:p w14:paraId="0000028D" w14:textId="77777777" w:rsidR="007F09CB" w:rsidRPr="00EA423C" w:rsidRDefault="00DB28EC" w:rsidP="00EA423C">
            <w:pPr>
              <w:spacing w:before="0" w:after="0"/>
              <w:jc w:val="center"/>
              <w:rPr>
                <w:b w:val="0"/>
                <w:bCs w:val="0"/>
                <w:lang w:val="lv-LV"/>
              </w:rPr>
            </w:pPr>
            <w:r w:rsidRPr="00EA423C">
              <w:rPr>
                <w:b w:val="0"/>
                <w:bCs w:val="0"/>
                <w:lang w:val="lv-LV"/>
              </w:rPr>
              <w:t>24 337 861</w:t>
            </w:r>
          </w:p>
        </w:tc>
        <w:tc>
          <w:tcPr>
            <w:tcW w:w="1196" w:type="dxa"/>
            <w:shd w:val="clear" w:color="auto" w:fill="D9D9D9"/>
            <w:tcMar>
              <w:top w:w="100" w:type="dxa"/>
              <w:left w:w="100" w:type="dxa"/>
              <w:bottom w:w="100" w:type="dxa"/>
              <w:right w:w="100" w:type="dxa"/>
            </w:tcMar>
            <w:vAlign w:val="center"/>
          </w:tcPr>
          <w:p w14:paraId="0000028E" w14:textId="77777777" w:rsidR="007F09CB" w:rsidRPr="00EA423C" w:rsidRDefault="00DB28EC" w:rsidP="00EA423C">
            <w:pPr>
              <w:spacing w:before="0" w:after="0"/>
              <w:jc w:val="center"/>
              <w:rPr>
                <w:b w:val="0"/>
                <w:bCs w:val="0"/>
                <w:lang w:val="lv-LV"/>
              </w:rPr>
            </w:pPr>
            <w:r w:rsidRPr="00EA423C">
              <w:rPr>
                <w:b w:val="0"/>
                <w:bCs w:val="0"/>
                <w:lang w:val="lv-LV"/>
              </w:rPr>
              <w:t>24 154 870</w:t>
            </w:r>
          </w:p>
        </w:tc>
        <w:tc>
          <w:tcPr>
            <w:tcW w:w="1197" w:type="dxa"/>
            <w:shd w:val="clear" w:color="auto" w:fill="D9D9D9"/>
            <w:tcMar>
              <w:top w:w="100" w:type="dxa"/>
              <w:left w:w="100" w:type="dxa"/>
              <w:bottom w:w="100" w:type="dxa"/>
              <w:right w:w="100" w:type="dxa"/>
            </w:tcMar>
            <w:vAlign w:val="center"/>
          </w:tcPr>
          <w:p w14:paraId="0000028F" w14:textId="77777777" w:rsidR="007F09CB" w:rsidRPr="00EA423C" w:rsidRDefault="00DB28EC" w:rsidP="00EA423C">
            <w:pPr>
              <w:spacing w:before="0" w:after="0"/>
              <w:jc w:val="center"/>
              <w:rPr>
                <w:b w:val="0"/>
                <w:bCs w:val="0"/>
                <w:lang w:val="lv-LV"/>
              </w:rPr>
            </w:pPr>
            <w:r w:rsidRPr="00EA423C">
              <w:rPr>
                <w:b w:val="0"/>
                <w:bCs w:val="0"/>
                <w:lang w:val="lv-LV"/>
              </w:rPr>
              <w:t>28 685 795</w:t>
            </w:r>
          </w:p>
        </w:tc>
        <w:tc>
          <w:tcPr>
            <w:tcW w:w="1196" w:type="dxa"/>
            <w:shd w:val="clear" w:color="auto" w:fill="D9D9D9"/>
            <w:tcMar>
              <w:top w:w="100" w:type="dxa"/>
              <w:left w:w="100" w:type="dxa"/>
              <w:bottom w:w="100" w:type="dxa"/>
              <w:right w:w="100" w:type="dxa"/>
            </w:tcMar>
            <w:vAlign w:val="center"/>
          </w:tcPr>
          <w:p w14:paraId="00000290" w14:textId="77777777" w:rsidR="007F09CB" w:rsidRPr="00EA423C" w:rsidRDefault="00DB28EC" w:rsidP="00EA423C">
            <w:pPr>
              <w:spacing w:before="0" w:after="0"/>
              <w:jc w:val="center"/>
              <w:rPr>
                <w:b w:val="0"/>
                <w:bCs w:val="0"/>
                <w:lang w:val="lv-LV"/>
              </w:rPr>
            </w:pPr>
            <w:r w:rsidRPr="00EA423C">
              <w:rPr>
                <w:b w:val="0"/>
                <w:bCs w:val="0"/>
                <w:lang w:val="lv-LV"/>
              </w:rPr>
              <w:t>28 388 852</w:t>
            </w:r>
          </w:p>
        </w:tc>
        <w:tc>
          <w:tcPr>
            <w:tcW w:w="1197" w:type="dxa"/>
            <w:shd w:val="clear" w:color="auto" w:fill="D9D9D9"/>
            <w:tcMar>
              <w:top w:w="100" w:type="dxa"/>
              <w:left w:w="100" w:type="dxa"/>
              <w:bottom w:w="100" w:type="dxa"/>
              <w:right w:w="100" w:type="dxa"/>
            </w:tcMar>
            <w:vAlign w:val="center"/>
          </w:tcPr>
          <w:p w14:paraId="00000291" w14:textId="77777777" w:rsidR="007F09CB" w:rsidRPr="00EA423C" w:rsidRDefault="00DB28EC" w:rsidP="00EA423C">
            <w:pPr>
              <w:spacing w:before="0" w:after="0"/>
              <w:jc w:val="center"/>
              <w:rPr>
                <w:b w:val="0"/>
                <w:bCs w:val="0"/>
                <w:lang w:val="lv-LV"/>
              </w:rPr>
            </w:pPr>
            <w:r w:rsidRPr="00EA423C">
              <w:rPr>
                <w:b w:val="0"/>
                <w:bCs w:val="0"/>
                <w:lang w:val="lv-LV"/>
              </w:rPr>
              <w:t>30 988 989</w:t>
            </w:r>
          </w:p>
        </w:tc>
      </w:tr>
      <w:tr w:rsidR="007F09CB" w:rsidRPr="0053072A" w14:paraId="6F154506" w14:textId="77777777">
        <w:trPr>
          <w:trHeight w:val="20"/>
        </w:trPr>
        <w:tc>
          <w:tcPr>
            <w:tcW w:w="5925" w:type="dxa"/>
            <w:shd w:val="clear" w:color="auto" w:fill="F2F2F2"/>
            <w:tcMar>
              <w:top w:w="100" w:type="dxa"/>
              <w:left w:w="100" w:type="dxa"/>
              <w:bottom w:w="100" w:type="dxa"/>
              <w:right w:w="100" w:type="dxa"/>
            </w:tcMar>
          </w:tcPr>
          <w:p w14:paraId="00000292" w14:textId="77777777" w:rsidR="007F09CB" w:rsidRPr="00EA423C" w:rsidRDefault="00DB28EC" w:rsidP="00EA423C">
            <w:pPr>
              <w:spacing w:before="0" w:after="0"/>
              <w:rPr>
                <w:b w:val="0"/>
                <w:bCs w:val="0"/>
                <w:lang w:val="lv-LV"/>
              </w:rPr>
            </w:pPr>
            <w:r w:rsidRPr="00EA423C">
              <w:rPr>
                <w:b w:val="0"/>
                <w:bCs w:val="0"/>
                <w:lang w:val="lv-LV"/>
              </w:rPr>
              <w:t>Iegādes izmaksas</w:t>
            </w:r>
          </w:p>
        </w:tc>
        <w:tc>
          <w:tcPr>
            <w:tcW w:w="1196" w:type="dxa"/>
            <w:shd w:val="clear" w:color="auto" w:fill="F2F2F2"/>
            <w:tcMar>
              <w:top w:w="100" w:type="dxa"/>
              <w:left w:w="100" w:type="dxa"/>
              <w:bottom w:w="100" w:type="dxa"/>
              <w:right w:w="100" w:type="dxa"/>
            </w:tcMar>
            <w:vAlign w:val="center"/>
          </w:tcPr>
          <w:p w14:paraId="00000293"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94" w14:textId="77777777" w:rsidR="007F09CB" w:rsidRPr="00EA423C" w:rsidRDefault="00DB28EC" w:rsidP="00EA423C">
            <w:pPr>
              <w:spacing w:before="0" w:after="0"/>
              <w:jc w:val="center"/>
              <w:rPr>
                <w:b w:val="0"/>
                <w:bCs w:val="0"/>
                <w:lang w:val="lv-LV"/>
              </w:rPr>
            </w:pPr>
            <w:r w:rsidRPr="00EA423C">
              <w:rPr>
                <w:b w:val="0"/>
                <w:bCs w:val="0"/>
                <w:lang w:val="lv-LV"/>
              </w:rPr>
              <w:t>20 270 351</w:t>
            </w:r>
          </w:p>
        </w:tc>
        <w:tc>
          <w:tcPr>
            <w:tcW w:w="1197" w:type="dxa"/>
            <w:shd w:val="clear" w:color="auto" w:fill="F2F2F2"/>
            <w:tcMar>
              <w:top w:w="100" w:type="dxa"/>
              <w:left w:w="100" w:type="dxa"/>
              <w:bottom w:w="100" w:type="dxa"/>
              <w:right w:w="100" w:type="dxa"/>
            </w:tcMar>
            <w:vAlign w:val="center"/>
          </w:tcPr>
          <w:p w14:paraId="00000295" w14:textId="77777777" w:rsidR="007F09CB" w:rsidRPr="00EA423C" w:rsidRDefault="00DB28EC" w:rsidP="00EA423C">
            <w:pPr>
              <w:spacing w:before="0" w:after="0"/>
              <w:jc w:val="center"/>
              <w:rPr>
                <w:b w:val="0"/>
                <w:bCs w:val="0"/>
                <w:lang w:val="lv-LV"/>
              </w:rPr>
            </w:pPr>
            <w:r w:rsidRPr="00EA423C">
              <w:rPr>
                <w:b w:val="0"/>
                <w:bCs w:val="0"/>
                <w:lang w:val="lv-LV"/>
              </w:rPr>
              <w:t>3 251 138</w:t>
            </w:r>
          </w:p>
        </w:tc>
        <w:tc>
          <w:tcPr>
            <w:tcW w:w="1196" w:type="dxa"/>
            <w:shd w:val="clear" w:color="auto" w:fill="F2F2F2"/>
            <w:tcMar>
              <w:top w:w="100" w:type="dxa"/>
              <w:left w:w="100" w:type="dxa"/>
              <w:bottom w:w="100" w:type="dxa"/>
              <w:right w:w="100" w:type="dxa"/>
            </w:tcMar>
            <w:vAlign w:val="center"/>
          </w:tcPr>
          <w:p w14:paraId="00000296" w14:textId="77777777" w:rsidR="007F09CB" w:rsidRPr="00EA423C" w:rsidRDefault="00DB28EC" w:rsidP="00EA423C">
            <w:pPr>
              <w:spacing w:before="0" w:after="0"/>
              <w:jc w:val="center"/>
              <w:rPr>
                <w:b w:val="0"/>
                <w:bCs w:val="0"/>
                <w:lang w:val="lv-LV"/>
              </w:rPr>
            </w:pPr>
            <w:r w:rsidRPr="00EA423C">
              <w:rPr>
                <w:b w:val="0"/>
                <w:bCs w:val="0"/>
                <w:lang w:val="lv-LV"/>
              </w:rPr>
              <w:t>8 704 600</w:t>
            </w:r>
          </w:p>
        </w:tc>
        <w:tc>
          <w:tcPr>
            <w:tcW w:w="1197" w:type="dxa"/>
            <w:shd w:val="clear" w:color="auto" w:fill="F2F2F2"/>
            <w:tcMar>
              <w:top w:w="100" w:type="dxa"/>
              <w:left w:w="100" w:type="dxa"/>
              <w:bottom w:w="100" w:type="dxa"/>
              <w:right w:w="100" w:type="dxa"/>
            </w:tcMar>
            <w:vAlign w:val="center"/>
          </w:tcPr>
          <w:p w14:paraId="00000297" w14:textId="77777777" w:rsidR="007F09CB" w:rsidRPr="00EA423C" w:rsidRDefault="00DB28EC" w:rsidP="00EA423C">
            <w:pPr>
              <w:spacing w:before="0" w:after="0"/>
              <w:jc w:val="center"/>
              <w:rPr>
                <w:b w:val="0"/>
                <w:bCs w:val="0"/>
                <w:lang w:val="lv-LV"/>
              </w:rPr>
            </w:pPr>
            <w:r w:rsidRPr="00EA423C">
              <w:rPr>
                <w:b w:val="0"/>
                <w:bCs w:val="0"/>
                <w:lang w:val="lv-LV"/>
              </w:rPr>
              <w:t>14 256 545</w:t>
            </w:r>
          </w:p>
        </w:tc>
        <w:tc>
          <w:tcPr>
            <w:tcW w:w="1196" w:type="dxa"/>
            <w:shd w:val="clear" w:color="auto" w:fill="F2F2F2"/>
            <w:tcMar>
              <w:top w:w="100" w:type="dxa"/>
              <w:left w:w="100" w:type="dxa"/>
              <w:bottom w:w="100" w:type="dxa"/>
              <w:right w:w="100" w:type="dxa"/>
            </w:tcMar>
            <w:vAlign w:val="center"/>
          </w:tcPr>
          <w:p w14:paraId="00000298" w14:textId="77777777" w:rsidR="007F09CB" w:rsidRPr="00EA423C" w:rsidRDefault="00DB28EC" w:rsidP="00EA423C">
            <w:pPr>
              <w:spacing w:before="0" w:after="0"/>
              <w:jc w:val="center"/>
              <w:rPr>
                <w:b w:val="0"/>
                <w:bCs w:val="0"/>
                <w:lang w:val="lv-LV"/>
              </w:rPr>
            </w:pPr>
            <w:r w:rsidRPr="00EA423C">
              <w:rPr>
                <w:b w:val="0"/>
                <w:bCs w:val="0"/>
                <w:lang w:val="lv-LV"/>
              </w:rPr>
              <w:t>19 905 876</w:t>
            </w:r>
          </w:p>
        </w:tc>
        <w:tc>
          <w:tcPr>
            <w:tcW w:w="1197" w:type="dxa"/>
            <w:shd w:val="clear" w:color="auto" w:fill="F2F2F2"/>
            <w:tcMar>
              <w:top w:w="100" w:type="dxa"/>
              <w:left w:w="100" w:type="dxa"/>
              <w:bottom w:w="100" w:type="dxa"/>
              <w:right w:w="100" w:type="dxa"/>
            </w:tcMar>
            <w:vAlign w:val="center"/>
          </w:tcPr>
          <w:p w14:paraId="00000299" w14:textId="77777777" w:rsidR="007F09CB" w:rsidRPr="00EA423C" w:rsidRDefault="00DB28EC" w:rsidP="00EA423C">
            <w:pPr>
              <w:spacing w:before="0" w:after="0"/>
              <w:jc w:val="center"/>
              <w:rPr>
                <w:b w:val="0"/>
                <w:bCs w:val="0"/>
                <w:lang w:val="lv-LV"/>
              </w:rPr>
            </w:pPr>
            <w:r w:rsidRPr="00EA423C">
              <w:rPr>
                <w:b w:val="0"/>
                <w:bCs w:val="0"/>
                <w:lang w:val="lv-LV"/>
              </w:rPr>
              <w:t>25 539 686</w:t>
            </w:r>
          </w:p>
        </w:tc>
      </w:tr>
      <w:tr w:rsidR="007F09CB" w:rsidRPr="0053072A" w14:paraId="1E05E15B" w14:textId="77777777">
        <w:trPr>
          <w:trHeight w:val="59"/>
        </w:trPr>
        <w:tc>
          <w:tcPr>
            <w:tcW w:w="5925" w:type="dxa"/>
            <w:shd w:val="clear" w:color="auto" w:fill="D9D9D9"/>
            <w:tcMar>
              <w:top w:w="100" w:type="dxa"/>
              <w:left w:w="100" w:type="dxa"/>
              <w:bottom w:w="100" w:type="dxa"/>
              <w:right w:w="100" w:type="dxa"/>
            </w:tcMar>
          </w:tcPr>
          <w:p w14:paraId="0000029A" w14:textId="77777777" w:rsidR="007F09CB" w:rsidRPr="00EA423C" w:rsidRDefault="00DB28EC" w:rsidP="00EA423C">
            <w:pPr>
              <w:spacing w:before="0" w:after="0"/>
              <w:rPr>
                <w:b w:val="0"/>
                <w:bCs w:val="0"/>
                <w:lang w:val="lv-LV"/>
              </w:rPr>
            </w:pPr>
            <w:r w:rsidRPr="00EA423C">
              <w:rPr>
                <w:b w:val="0"/>
                <w:bCs w:val="0"/>
                <w:lang w:val="lv-LV"/>
              </w:rPr>
              <w:t>Peļņa no pamatdarbības</w:t>
            </w:r>
          </w:p>
        </w:tc>
        <w:tc>
          <w:tcPr>
            <w:tcW w:w="1196" w:type="dxa"/>
            <w:shd w:val="clear" w:color="auto" w:fill="D9D9D9"/>
            <w:tcMar>
              <w:top w:w="100" w:type="dxa"/>
              <w:left w:w="100" w:type="dxa"/>
              <w:bottom w:w="100" w:type="dxa"/>
              <w:right w:w="100" w:type="dxa"/>
            </w:tcMar>
            <w:vAlign w:val="center"/>
          </w:tcPr>
          <w:p w14:paraId="0000029B" w14:textId="77777777" w:rsidR="007F09CB" w:rsidRPr="00EA423C" w:rsidRDefault="00DB28EC" w:rsidP="00EA423C">
            <w:pPr>
              <w:spacing w:before="0" w:after="0"/>
              <w:jc w:val="center"/>
              <w:rPr>
                <w:b w:val="0"/>
                <w:bCs w:val="0"/>
                <w:lang w:val="lv-LV"/>
              </w:rPr>
            </w:pPr>
            <w:r w:rsidRPr="00EA423C">
              <w:rPr>
                <w:b w:val="0"/>
                <w:bCs w:val="0"/>
                <w:lang w:val="lv-LV"/>
              </w:rPr>
              <w:t>24 703 844</w:t>
            </w:r>
          </w:p>
        </w:tc>
        <w:tc>
          <w:tcPr>
            <w:tcW w:w="1196" w:type="dxa"/>
            <w:shd w:val="clear" w:color="auto" w:fill="D9D9D9"/>
            <w:tcMar>
              <w:top w:w="100" w:type="dxa"/>
              <w:left w:w="100" w:type="dxa"/>
              <w:bottom w:w="100" w:type="dxa"/>
              <w:right w:w="100" w:type="dxa"/>
            </w:tcMar>
            <w:vAlign w:val="center"/>
          </w:tcPr>
          <w:p w14:paraId="0000029C" w14:textId="77777777" w:rsidR="007F09CB" w:rsidRPr="00EA423C" w:rsidRDefault="00DB28EC" w:rsidP="00EA423C">
            <w:pPr>
              <w:spacing w:before="0" w:after="0"/>
              <w:jc w:val="center"/>
              <w:rPr>
                <w:b w:val="0"/>
                <w:bCs w:val="0"/>
                <w:lang w:val="lv-LV"/>
              </w:rPr>
            </w:pPr>
            <w:r w:rsidRPr="00EA423C">
              <w:rPr>
                <w:b w:val="0"/>
                <w:bCs w:val="0"/>
                <w:lang w:val="lv-LV"/>
              </w:rPr>
              <w:t>4 250 501</w:t>
            </w:r>
          </w:p>
        </w:tc>
        <w:tc>
          <w:tcPr>
            <w:tcW w:w="1197" w:type="dxa"/>
            <w:shd w:val="clear" w:color="auto" w:fill="D9D9D9"/>
            <w:tcMar>
              <w:top w:w="100" w:type="dxa"/>
              <w:left w:w="100" w:type="dxa"/>
              <w:bottom w:w="100" w:type="dxa"/>
              <w:right w:w="100" w:type="dxa"/>
            </w:tcMar>
            <w:vAlign w:val="center"/>
          </w:tcPr>
          <w:p w14:paraId="0000029D" w14:textId="77777777" w:rsidR="007F09CB" w:rsidRPr="00EA423C" w:rsidRDefault="00DB28EC" w:rsidP="00EA423C">
            <w:pPr>
              <w:spacing w:before="0" w:after="0"/>
              <w:jc w:val="center"/>
              <w:rPr>
                <w:b w:val="0"/>
                <w:bCs w:val="0"/>
                <w:lang w:val="lv-LV"/>
              </w:rPr>
            </w:pPr>
            <w:r w:rsidRPr="00EA423C">
              <w:rPr>
                <w:b w:val="0"/>
                <w:bCs w:val="0"/>
                <w:lang w:val="lv-LV"/>
              </w:rPr>
              <w:t>21 086 723</w:t>
            </w:r>
          </w:p>
        </w:tc>
        <w:tc>
          <w:tcPr>
            <w:tcW w:w="1196" w:type="dxa"/>
            <w:shd w:val="clear" w:color="auto" w:fill="D9D9D9"/>
            <w:tcMar>
              <w:top w:w="100" w:type="dxa"/>
              <w:left w:w="100" w:type="dxa"/>
              <w:bottom w:w="100" w:type="dxa"/>
              <w:right w:w="100" w:type="dxa"/>
            </w:tcMar>
            <w:vAlign w:val="center"/>
          </w:tcPr>
          <w:p w14:paraId="0000029E" w14:textId="77777777" w:rsidR="007F09CB" w:rsidRPr="00EA423C" w:rsidRDefault="00DB28EC" w:rsidP="00EA423C">
            <w:pPr>
              <w:spacing w:before="0" w:after="0"/>
              <w:jc w:val="center"/>
              <w:rPr>
                <w:b w:val="0"/>
                <w:bCs w:val="0"/>
                <w:lang w:val="lv-LV"/>
              </w:rPr>
            </w:pPr>
            <w:r w:rsidRPr="00EA423C">
              <w:rPr>
                <w:b w:val="0"/>
                <w:bCs w:val="0"/>
                <w:lang w:val="lv-LV"/>
              </w:rPr>
              <w:t>15 450 269</w:t>
            </w:r>
          </w:p>
        </w:tc>
        <w:tc>
          <w:tcPr>
            <w:tcW w:w="1197" w:type="dxa"/>
            <w:shd w:val="clear" w:color="auto" w:fill="D9D9D9"/>
            <w:tcMar>
              <w:top w:w="100" w:type="dxa"/>
              <w:left w:w="100" w:type="dxa"/>
              <w:bottom w:w="100" w:type="dxa"/>
              <w:right w:w="100" w:type="dxa"/>
            </w:tcMar>
            <w:vAlign w:val="center"/>
          </w:tcPr>
          <w:p w14:paraId="0000029F" w14:textId="77777777" w:rsidR="007F09CB" w:rsidRPr="00EA423C" w:rsidRDefault="00DB28EC" w:rsidP="00EA423C">
            <w:pPr>
              <w:spacing w:before="0" w:after="0"/>
              <w:jc w:val="center"/>
              <w:rPr>
                <w:b w:val="0"/>
                <w:bCs w:val="0"/>
                <w:lang w:val="lv-LV"/>
              </w:rPr>
            </w:pPr>
            <w:r w:rsidRPr="00EA423C">
              <w:rPr>
                <w:b w:val="0"/>
                <w:bCs w:val="0"/>
                <w:lang w:val="lv-LV"/>
              </w:rPr>
              <w:t>14 429 250</w:t>
            </w:r>
          </w:p>
        </w:tc>
        <w:tc>
          <w:tcPr>
            <w:tcW w:w="1196" w:type="dxa"/>
            <w:shd w:val="clear" w:color="auto" w:fill="D9D9D9"/>
            <w:tcMar>
              <w:top w:w="100" w:type="dxa"/>
              <w:left w:w="100" w:type="dxa"/>
              <w:bottom w:w="100" w:type="dxa"/>
              <w:right w:w="100" w:type="dxa"/>
            </w:tcMar>
            <w:vAlign w:val="center"/>
          </w:tcPr>
          <w:p w14:paraId="000002A0" w14:textId="77777777" w:rsidR="007F09CB" w:rsidRPr="00EA423C" w:rsidRDefault="00DB28EC" w:rsidP="00EA423C">
            <w:pPr>
              <w:spacing w:before="0" w:after="0"/>
              <w:jc w:val="center"/>
              <w:rPr>
                <w:b w:val="0"/>
                <w:bCs w:val="0"/>
                <w:lang w:val="lv-LV"/>
              </w:rPr>
            </w:pPr>
            <w:r w:rsidRPr="00EA423C">
              <w:rPr>
                <w:b w:val="0"/>
                <w:bCs w:val="0"/>
                <w:lang w:val="lv-LV"/>
              </w:rPr>
              <w:t>8 482 977</w:t>
            </w:r>
          </w:p>
        </w:tc>
        <w:tc>
          <w:tcPr>
            <w:tcW w:w="1197" w:type="dxa"/>
            <w:shd w:val="clear" w:color="auto" w:fill="D9D9D9"/>
            <w:tcMar>
              <w:top w:w="100" w:type="dxa"/>
              <w:left w:w="100" w:type="dxa"/>
              <w:bottom w:w="100" w:type="dxa"/>
              <w:right w:w="100" w:type="dxa"/>
            </w:tcMar>
            <w:vAlign w:val="center"/>
          </w:tcPr>
          <w:p w14:paraId="000002A1" w14:textId="77777777" w:rsidR="007F09CB" w:rsidRPr="00EA423C" w:rsidRDefault="00DB28EC" w:rsidP="00EA423C">
            <w:pPr>
              <w:spacing w:before="0" w:after="0"/>
              <w:jc w:val="center"/>
              <w:rPr>
                <w:b w:val="0"/>
                <w:bCs w:val="0"/>
                <w:lang w:val="lv-LV"/>
              </w:rPr>
            </w:pPr>
            <w:r w:rsidRPr="00EA423C">
              <w:rPr>
                <w:b w:val="0"/>
                <w:bCs w:val="0"/>
                <w:lang w:val="lv-LV"/>
              </w:rPr>
              <w:t>5 449 303</w:t>
            </w:r>
          </w:p>
        </w:tc>
      </w:tr>
      <w:tr w:rsidR="007F09CB" w:rsidRPr="0053072A" w14:paraId="62A3225E" w14:textId="77777777">
        <w:trPr>
          <w:trHeight w:val="20"/>
        </w:trPr>
        <w:tc>
          <w:tcPr>
            <w:tcW w:w="5925" w:type="dxa"/>
            <w:shd w:val="clear" w:color="auto" w:fill="D9D9D9"/>
            <w:tcMar>
              <w:top w:w="100" w:type="dxa"/>
              <w:left w:w="100" w:type="dxa"/>
              <w:bottom w:w="100" w:type="dxa"/>
              <w:right w:w="100" w:type="dxa"/>
            </w:tcMar>
          </w:tcPr>
          <w:p w14:paraId="000002A2" w14:textId="77777777" w:rsidR="007F09CB" w:rsidRPr="00EA423C" w:rsidRDefault="00DB28EC" w:rsidP="00EA423C">
            <w:pPr>
              <w:spacing w:before="0" w:after="0"/>
              <w:rPr>
                <w:b w:val="0"/>
                <w:bCs w:val="0"/>
                <w:lang w:val="lv-LV"/>
              </w:rPr>
            </w:pPr>
            <w:r w:rsidRPr="00EA423C">
              <w:rPr>
                <w:b w:val="0"/>
                <w:bCs w:val="0"/>
                <w:lang w:val="lv-LV"/>
              </w:rPr>
              <w:t>Bruto peļņa</w:t>
            </w:r>
          </w:p>
        </w:tc>
        <w:tc>
          <w:tcPr>
            <w:tcW w:w="1196" w:type="dxa"/>
            <w:shd w:val="clear" w:color="auto" w:fill="D9D9D9"/>
            <w:tcMar>
              <w:top w:w="100" w:type="dxa"/>
              <w:left w:w="100" w:type="dxa"/>
              <w:bottom w:w="100" w:type="dxa"/>
              <w:right w:w="100" w:type="dxa"/>
            </w:tcMar>
            <w:vAlign w:val="center"/>
          </w:tcPr>
          <w:p w14:paraId="000002A3"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D9D9D9"/>
            <w:tcMar>
              <w:top w:w="100" w:type="dxa"/>
              <w:left w:w="100" w:type="dxa"/>
              <w:bottom w:w="100" w:type="dxa"/>
              <w:right w:w="100" w:type="dxa"/>
            </w:tcMar>
            <w:vAlign w:val="center"/>
          </w:tcPr>
          <w:p w14:paraId="000002A4"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D9D9D9"/>
            <w:tcMar>
              <w:top w:w="100" w:type="dxa"/>
              <w:left w:w="100" w:type="dxa"/>
              <w:bottom w:w="100" w:type="dxa"/>
              <w:right w:w="100" w:type="dxa"/>
            </w:tcMar>
            <w:vAlign w:val="center"/>
          </w:tcPr>
          <w:p w14:paraId="000002A5"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D9D9D9"/>
            <w:tcMar>
              <w:top w:w="100" w:type="dxa"/>
              <w:left w:w="100" w:type="dxa"/>
              <w:bottom w:w="100" w:type="dxa"/>
              <w:right w:w="100" w:type="dxa"/>
            </w:tcMar>
            <w:vAlign w:val="center"/>
          </w:tcPr>
          <w:p w14:paraId="000002A6"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D9D9D9"/>
            <w:tcMar>
              <w:top w:w="100" w:type="dxa"/>
              <w:left w:w="100" w:type="dxa"/>
              <w:bottom w:w="100" w:type="dxa"/>
              <w:right w:w="100" w:type="dxa"/>
            </w:tcMar>
            <w:vAlign w:val="center"/>
          </w:tcPr>
          <w:p w14:paraId="000002A7"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D9D9D9"/>
            <w:tcMar>
              <w:top w:w="100" w:type="dxa"/>
              <w:left w:w="100" w:type="dxa"/>
              <w:bottom w:w="100" w:type="dxa"/>
              <w:right w:w="100" w:type="dxa"/>
            </w:tcMar>
            <w:vAlign w:val="center"/>
          </w:tcPr>
          <w:p w14:paraId="000002A8"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D9D9D9"/>
            <w:tcMar>
              <w:top w:w="100" w:type="dxa"/>
              <w:left w:w="100" w:type="dxa"/>
              <w:bottom w:w="100" w:type="dxa"/>
              <w:right w:w="100" w:type="dxa"/>
            </w:tcMar>
            <w:vAlign w:val="center"/>
          </w:tcPr>
          <w:p w14:paraId="000002A9" w14:textId="77777777" w:rsidR="007F09CB" w:rsidRPr="00EA423C" w:rsidRDefault="00DB28EC" w:rsidP="00EA423C">
            <w:pPr>
              <w:spacing w:before="0" w:after="0"/>
              <w:jc w:val="center"/>
              <w:rPr>
                <w:b w:val="0"/>
                <w:bCs w:val="0"/>
                <w:lang w:val="lv-LV"/>
              </w:rPr>
            </w:pPr>
            <w:r w:rsidRPr="00EA423C">
              <w:rPr>
                <w:b w:val="0"/>
                <w:bCs w:val="0"/>
                <w:lang w:val="lv-LV"/>
              </w:rPr>
              <w:t>-</w:t>
            </w:r>
          </w:p>
        </w:tc>
      </w:tr>
      <w:tr w:rsidR="007F09CB" w:rsidRPr="0053072A" w14:paraId="276A66D6" w14:textId="77777777">
        <w:trPr>
          <w:trHeight w:val="20"/>
        </w:trPr>
        <w:tc>
          <w:tcPr>
            <w:tcW w:w="5925" w:type="dxa"/>
            <w:shd w:val="clear" w:color="auto" w:fill="F2F2F2"/>
            <w:tcMar>
              <w:top w:w="100" w:type="dxa"/>
              <w:left w:w="100" w:type="dxa"/>
              <w:bottom w:w="100" w:type="dxa"/>
              <w:right w:w="100" w:type="dxa"/>
            </w:tcMar>
          </w:tcPr>
          <w:p w14:paraId="000002AA" w14:textId="77777777" w:rsidR="007F09CB" w:rsidRPr="00EA423C" w:rsidRDefault="00DB28EC" w:rsidP="00EA423C">
            <w:pPr>
              <w:spacing w:before="0" w:after="0"/>
              <w:rPr>
                <w:b w:val="0"/>
                <w:bCs w:val="0"/>
                <w:lang w:val="lv-LV"/>
              </w:rPr>
            </w:pPr>
            <w:r w:rsidRPr="00EA423C">
              <w:rPr>
                <w:b w:val="0"/>
                <w:bCs w:val="0"/>
                <w:lang w:val="lv-LV"/>
              </w:rPr>
              <w:t>Atalgojuma izmaksas</w:t>
            </w:r>
          </w:p>
        </w:tc>
        <w:tc>
          <w:tcPr>
            <w:tcW w:w="1196" w:type="dxa"/>
            <w:shd w:val="clear" w:color="auto" w:fill="F2F2F2"/>
            <w:tcMar>
              <w:top w:w="100" w:type="dxa"/>
              <w:left w:w="100" w:type="dxa"/>
              <w:bottom w:w="100" w:type="dxa"/>
              <w:right w:w="100" w:type="dxa"/>
            </w:tcMar>
            <w:vAlign w:val="center"/>
          </w:tcPr>
          <w:p w14:paraId="000002AB" w14:textId="77777777" w:rsidR="007F09CB" w:rsidRPr="00EA423C" w:rsidRDefault="00DB28EC" w:rsidP="00EA423C">
            <w:pPr>
              <w:spacing w:before="0" w:after="0"/>
              <w:jc w:val="center"/>
              <w:rPr>
                <w:b w:val="0"/>
                <w:bCs w:val="0"/>
                <w:lang w:val="lv-LV"/>
              </w:rPr>
            </w:pPr>
            <w:r w:rsidRPr="00EA423C">
              <w:rPr>
                <w:b w:val="0"/>
                <w:bCs w:val="0"/>
                <w:lang w:val="lv-LV"/>
              </w:rPr>
              <w:t>185 538</w:t>
            </w:r>
          </w:p>
        </w:tc>
        <w:tc>
          <w:tcPr>
            <w:tcW w:w="1196" w:type="dxa"/>
            <w:shd w:val="clear" w:color="auto" w:fill="F2F2F2"/>
            <w:tcMar>
              <w:top w:w="100" w:type="dxa"/>
              <w:left w:w="100" w:type="dxa"/>
              <w:bottom w:w="100" w:type="dxa"/>
              <w:right w:w="100" w:type="dxa"/>
            </w:tcMar>
            <w:vAlign w:val="center"/>
          </w:tcPr>
          <w:p w14:paraId="000002AC" w14:textId="77777777" w:rsidR="007F09CB" w:rsidRPr="00EA423C" w:rsidRDefault="00DB28EC" w:rsidP="00EA423C">
            <w:pPr>
              <w:spacing w:before="0" w:after="0"/>
              <w:jc w:val="center"/>
              <w:rPr>
                <w:b w:val="0"/>
                <w:bCs w:val="0"/>
                <w:lang w:val="lv-LV"/>
              </w:rPr>
            </w:pPr>
            <w:r w:rsidRPr="00EA423C">
              <w:rPr>
                <w:b w:val="0"/>
                <w:bCs w:val="0"/>
                <w:lang w:val="lv-LV"/>
              </w:rPr>
              <w:t>264 385</w:t>
            </w:r>
          </w:p>
        </w:tc>
        <w:tc>
          <w:tcPr>
            <w:tcW w:w="1197" w:type="dxa"/>
            <w:shd w:val="clear" w:color="auto" w:fill="F2F2F2"/>
            <w:tcMar>
              <w:top w:w="100" w:type="dxa"/>
              <w:left w:w="100" w:type="dxa"/>
              <w:bottom w:w="100" w:type="dxa"/>
              <w:right w:w="100" w:type="dxa"/>
            </w:tcMar>
            <w:vAlign w:val="center"/>
          </w:tcPr>
          <w:p w14:paraId="000002AD" w14:textId="77777777" w:rsidR="007F09CB" w:rsidRPr="00EA423C" w:rsidRDefault="00DB28EC" w:rsidP="00EA423C">
            <w:pPr>
              <w:spacing w:before="0" w:after="0"/>
              <w:jc w:val="center"/>
              <w:rPr>
                <w:b w:val="0"/>
                <w:bCs w:val="0"/>
                <w:lang w:val="lv-LV"/>
              </w:rPr>
            </w:pPr>
            <w:r w:rsidRPr="00EA423C">
              <w:rPr>
                <w:b w:val="0"/>
                <w:bCs w:val="0"/>
                <w:lang w:val="lv-LV"/>
              </w:rPr>
              <w:t>264 385</w:t>
            </w:r>
          </w:p>
        </w:tc>
        <w:tc>
          <w:tcPr>
            <w:tcW w:w="1196" w:type="dxa"/>
            <w:shd w:val="clear" w:color="auto" w:fill="F2F2F2"/>
            <w:tcMar>
              <w:top w:w="100" w:type="dxa"/>
              <w:left w:w="100" w:type="dxa"/>
              <w:bottom w:w="100" w:type="dxa"/>
              <w:right w:w="100" w:type="dxa"/>
            </w:tcMar>
            <w:vAlign w:val="center"/>
          </w:tcPr>
          <w:p w14:paraId="000002AE" w14:textId="77777777" w:rsidR="007F09CB" w:rsidRPr="00EA423C" w:rsidRDefault="00DB28EC" w:rsidP="00EA423C">
            <w:pPr>
              <w:spacing w:before="0" w:after="0"/>
              <w:jc w:val="center"/>
              <w:rPr>
                <w:b w:val="0"/>
                <w:bCs w:val="0"/>
                <w:lang w:val="lv-LV"/>
              </w:rPr>
            </w:pPr>
            <w:r w:rsidRPr="00EA423C">
              <w:rPr>
                <w:b w:val="0"/>
                <w:bCs w:val="0"/>
                <w:lang w:val="lv-LV"/>
              </w:rPr>
              <w:t>264 385</w:t>
            </w:r>
          </w:p>
        </w:tc>
        <w:tc>
          <w:tcPr>
            <w:tcW w:w="1197" w:type="dxa"/>
            <w:shd w:val="clear" w:color="auto" w:fill="F2F2F2"/>
            <w:tcMar>
              <w:top w:w="100" w:type="dxa"/>
              <w:left w:w="100" w:type="dxa"/>
              <w:bottom w:w="100" w:type="dxa"/>
              <w:right w:w="100" w:type="dxa"/>
            </w:tcMar>
            <w:vAlign w:val="center"/>
          </w:tcPr>
          <w:p w14:paraId="000002AF" w14:textId="77777777" w:rsidR="007F09CB" w:rsidRPr="00EA423C" w:rsidRDefault="00DB28EC" w:rsidP="00EA423C">
            <w:pPr>
              <w:spacing w:before="0" w:after="0"/>
              <w:jc w:val="center"/>
              <w:rPr>
                <w:b w:val="0"/>
                <w:bCs w:val="0"/>
                <w:lang w:val="lv-LV"/>
              </w:rPr>
            </w:pPr>
            <w:r w:rsidRPr="00EA423C">
              <w:rPr>
                <w:b w:val="0"/>
                <w:bCs w:val="0"/>
                <w:lang w:val="lv-LV"/>
              </w:rPr>
              <w:t>264 385</w:t>
            </w:r>
          </w:p>
        </w:tc>
        <w:tc>
          <w:tcPr>
            <w:tcW w:w="1196" w:type="dxa"/>
            <w:shd w:val="clear" w:color="auto" w:fill="F2F2F2"/>
            <w:tcMar>
              <w:top w:w="100" w:type="dxa"/>
              <w:left w:w="100" w:type="dxa"/>
              <w:bottom w:w="100" w:type="dxa"/>
              <w:right w:w="100" w:type="dxa"/>
            </w:tcMar>
            <w:vAlign w:val="center"/>
          </w:tcPr>
          <w:p w14:paraId="000002B0" w14:textId="77777777" w:rsidR="007F09CB" w:rsidRPr="00EA423C" w:rsidRDefault="00DB28EC" w:rsidP="00EA423C">
            <w:pPr>
              <w:spacing w:before="0" w:after="0"/>
              <w:jc w:val="center"/>
              <w:rPr>
                <w:b w:val="0"/>
                <w:bCs w:val="0"/>
                <w:lang w:val="lv-LV"/>
              </w:rPr>
            </w:pPr>
            <w:r w:rsidRPr="00EA423C">
              <w:rPr>
                <w:b w:val="0"/>
                <w:bCs w:val="0"/>
                <w:lang w:val="lv-LV"/>
              </w:rPr>
              <w:t>264 385</w:t>
            </w:r>
          </w:p>
        </w:tc>
        <w:tc>
          <w:tcPr>
            <w:tcW w:w="1197" w:type="dxa"/>
            <w:shd w:val="clear" w:color="auto" w:fill="F2F2F2"/>
            <w:tcMar>
              <w:top w:w="100" w:type="dxa"/>
              <w:left w:w="100" w:type="dxa"/>
              <w:bottom w:w="100" w:type="dxa"/>
              <w:right w:w="100" w:type="dxa"/>
            </w:tcMar>
            <w:vAlign w:val="center"/>
          </w:tcPr>
          <w:p w14:paraId="000002B1" w14:textId="77777777" w:rsidR="007F09CB" w:rsidRPr="00EA423C" w:rsidRDefault="00DB28EC" w:rsidP="00EA423C">
            <w:pPr>
              <w:spacing w:before="0" w:after="0"/>
              <w:jc w:val="center"/>
              <w:rPr>
                <w:b w:val="0"/>
                <w:bCs w:val="0"/>
                <w:lang w:val="lv-LV"/>
              </w:rPr>
            </w:pPr>
            <w:r w:rsidRPr="00EA423C">
              <w:rPr>
                <w:b w:val="0"/>
                <w:bCs w:val="0"/>
                <w:lang w:val="lv-LV"/>
              </w:rPr>
              <w:t>264 385</w:t>
            </w:r>
          </w:p>
        </w:tc>
      </w:tr>
      <w:tr w:rsidR="007F09CB" w:rsidRPr="0053072A" w14:paraId="37F7EECB" w14:textId="77777777">
        <w:trPr>
          <w:trHeight w:val="20"/>
        </w:trPr>
        <w:tc>
          <w:tcPr>
            <w:tcW w:w="5925" w:type="dxa"/>
            <w:shd w:val="clear" w:color="auto" w:fill="F2F2F2"/>
            <w:tcMar>
              <w:top w:w="100" w:type="dxa"/>
              <w:left w:w="100" w:type="dxa"/>
              <w:bottom w:w="100" w:type="dxa"/>
              <w:right w:w="100" w:type="dxa"/>
            </w:tcMar>
          </w:tcPr>
          <w:p w14:paraId="000002B2" w14:textId="77777777" w:rsidR="007F09CB" w:rsidRPr="00EA423C" w:rsidRDefault="00DB28EC" w:rsidP="00EA423C">
            <w:pPr>
              <w:spacing w:before="0" w:after="0"/>
              <w:rPr>
                <w:b w:val="0"/>
                <w:bCs w:val="0"/>
                <w:lang w:val="lv-LV"/>
              </w:rPr>
            </w:pPr>
            <w:r w:rsidRPr="00EA423C">
              <w:rPr>
                <w:b w:val="0"/>
                <w:bCs w:val="0"/>
                <w:lang w:val="lv-LV"/>
              </w:rPr>
              <w:t>Ieņēmumi (-) / izmaksas (+) no drošības rezervju rotācijas</w:t>
            </w:r>
          </w:p>
        </w:tc>
        <w:tc>
          <w:tcPr>
            <w:tcW w:w="1196" w:type="dxa"/>
            <w:shd w:val="clear" w:color="auto" w:fill="F2F2F2"/>
            <w:tcMar>
              <w:top w:w="100" w:type="dxa"/>
              <w:left w:w="100" w:type="dxa"/>
              <w:bottom w:w="100" w:type="dxa"/>
              <w:right w:w="100" w:type="dxa"/>
            </w:tcMar>
            <w:vAlign w:val="center"/>
          </w:tcPr>
          <w:p w14:paraId="000002B3"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B4"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B5"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B6" w14:textId="77777777" w:rsidR="007F09CB" w:rsidRPr="00EA423C" w:rsidRDefault="00DB28EC" w:rsidP="00EA423C">
            <w:pPr>
              <w:spacing w:before="0" w:after="0"/>
              <w:jc w:val="center"/>
              <w:rPr>
                <w:b w:val="0"/>
                <w:bCs w:val="0"/>
                <w:lang w:val="lv-LV"/>
              </w:rPr>
            </w:pPr>
            <w:r w:rsidRPr="00EA423C">
              <w:rPr>
                <w:b w:val="0"/>
                <w:bCs w:val="0"/>
                <w:lang w:val="lv-LV"/>
              </w:rPr>
              <w:t>-313 174</w:t>
            </w:r>
          </w:p>
        </w:tc>
        <w:tc>
          <w:tcPr>
            <w:tcW w:w="1197" w:type="dxa"/>
            <w:shd w:val="clear" w:color="auto" w:fill="F2F2F2"/>
            <w:tcMar>
              <w:top w:w="100" w:type="dxa"/>
              <w:left w:w="100" w:type="dxa"/>
              <w:bottom w:w="100" w:type="dxa"/>
              <w:right w:w="100" w:type="dxa"/>
            </w:tcMar>
            <w:vAlign w:val="center"/>
          </w:tcPr>
          <w:p w14:paraId="000002B7" w14:textId="77777777" w:rsidR="007F09CB" w:rsidRPr="00EA423C" w:rsidRDefault="00DB28EC" w:rsidP="00EA423C">
            <w:pPr>
              <w:spacing w:before="0" w:after="0"/>
              <w:jc w:val="center"/>
              <w:rPr>
                <w:b w:val="0"/>
                <w:bCs w:val="0"/>
                <w:lang w:val="lv-LV"/>
              </w:rPr>
            </w:pPr>
            <w:r w:rsidRPr="00EA423C">
              <w:rPr>
                <w:b w:val="0"/>
                <w:bCs w:val="0"/>
                <w:lang w:val="lv-LV"/>
              </w:rPr>
              <w:t>-319 597</w:t>
            </w:r>
          </w:p>
        </w:tc>
        <w:tc>
          <w:tcPr>
            <w:tcW w:w="1196" w:type="dxa"/>
            <w:shd w:val="clear" w:color="auto" w:fill="F2F2F2"/>
            <w:tcMar>
              <w:top w:w="100" w:type="dxa"/>
              <w:left w:w="100" w:type="dxa"/>
              <w:bottom w:w="100" w:type="dxa"/>
              <w:right w:w="100" w:type="dxa"/>
            </w:tcMar>
            <w:vAlign w:val="center"/>
          </w:tcPr>
          <w:p w14:paraId="000002B8" w14:textId="77777777" w:rsidR="007F09CB" w:rsidRPr="00EA423C" w:rsidRDefault="00DB28EC" w:rsidP="00EA423C">
            <w:pPr>
              <w:spacing w:before="0" w:after="0"/>
              <w:jc w:val="center"/>
              <w:rPr>
                <w:b w:val="0"/>
                <w:bCs w:val="0"/>
                <w:lang w:val="lv-LV"/>
              </w:rPr>
            </w:pPr>
            <w:r w:rsidRPr="00EA423C">
              <w:rPr>
                <w:b w:val="0"/>
                <w:bCs w:val="0"/>
                <w:lang w:val="lv-LV"/>
              </w:rPr>
              <w:t>-5 361 200</w:t>
            </w:r>
          </w:p>
        </w:tc>
        <w:tc>
          <w:tcPr>
            <w:tcW w:w="1197" w:type="dxa"/>
            <w:shd w:val="clear" w:color="auto" w:fill="F2F2F2"/>
            <w:tcMar>
              <w:top w:w="100" w:type="dxa"/>
              <w:left w:w="100" w:type="dxa"/>
              <w:bottom w:w="100" w:type="dxa"/>
              <w:right w:w="100" w:type="dxa"/>
            </w:tcMar>
            <w:vAlign w:val="center"/>
          </w:tcPr>
          <w:p w14:paraId="000002B9" w14:textId="77777777" w:rsidR="007F09CB" w:rsidRPr="00EA423C" w:rsidRDefault="00DB28EC" w:rsidP="00EA423C">
            <w:pPr>
              <w:spacing w:before="0" w:after="0"/>
              <w:jc w:val="center"/>
              <w:rPr>
                <w:b w:val="0"/>
                <w:bCs w:val="0"/>
                <w:lang w:val="lv-LV"/>
              </w:rPr>
            </w:pPr>
            <w:r w:rsidRPr="00EA423C">
              <w:rPr>
                <w:b w:val="0"/>
                <w:bCs w:val="0"/>
                <w:lang w:val="lv-LV"/>
              </w:rPr>
              <w:t>-8 367 657</w:t>
            </w:r>
          </w:p>
        </w:tc>
      </w:tr>
      <w:tr w:rsidR="007F09CB" w:rsidRPr="0053072A" w14:paraId="3D90AD6D" w14:textId="77777777">
        <w:trPr>
          <w:trHeight w:val="20"/>
        </w:trPr>
        <w:tc>
          <w:tcPr>
            <w:tcW w:w="5925" w:type="dxa"/>
            <w:shd w:val="clear" w:color="auto" w:fill="F2F2F2"/>
            <w:tcMar>
              <w:top w:w="100" w:type="dxa"/>
              <w:left w:w="100" w:type="dxa"/>
              <w:bottom w:w="100" w:type="dxa"/>
              <w:right w:w="100" w:type="dxa"/>
            </w:tcMar>
          </w:tcPr>
          <w:p w14:paraId="000002BA" w14:textId="77777777" w:rsidR="007F09CB" w:rsidRPr="00EA423C" w:rsidRDefault="00DB28EC" w:rsidP="00EA423C">
            <w:pPr>
              <w:spacing w:before="0" w:after="0"/>
              <w:rPr>
                <w:b w:val="0"/>
                <w:bCs w:val="0"/>
                <w:lang w:val="lv-LV"/>
              </w:rPr>
            </w:pPr>
            <w:r w:rsidRPr="00EA423C">
              <w:rPr>
                <w:b w:val="0"/>
                <w:bCs w:val="0"/>
                <w:lang w:val="lv-LV"/>
              </w:rPr>
              <w:t>Citas izmaksas</w:t>
            </w:r>
          </w:p>
        </w:tc>
        <w:tc>
          <w:tcPr>
            <w:tcW w:w="1196" w:type="dxa"/>
            <w:shd w:val="clear" w:color="auto" w:fill="F2F2F2"/>
            <w:tcMar>
              <w:top w:w="100" w:type="dxa"/>
              <w:left w:w="100" w:type="dxa"/>
              <w:bottom w:w="100" w:type="dxa"/>
              <w:right w:w="100" w:type="dxa"/>
            </w:tcMar>
            <w:vAlign w:val="center"/>
          </w:tcPr>
          <w:p w14:paraId="000002BB"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BC"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BD" w14:textId="77777777" w:rsidR="007F09CB" w:rsidRPr="00EA423C" w:rsidRDefault="00DB28EC" w:rsidP="00EA423C">
            <w:pPr>
              <w:spacing w:before="0" w:after="0"/>
              <w:jc w:val="center"/>
              <w:rPr>
                <w:b w:val="0"/>
                <w:bCs w:val="0"/>
                <w:lang w:val="lv-LV"/>
              </w:rPr>
            </w:pPr>
            <w:r w:rsidRPr="00EA423C">
              <w:rPr>
                <w:b w:val="0"/>
                <w:bCs w:val="0"/>
                <w:lang w:val="lv-LV"/>
              </w:rPr>
              <w:t>199 727</w:t>
            </w:r>
          </w:p>
        </w:tc>
        <w:tc>
          <w:tcPr>
            <w:tcW w:w="1196" w:type="dxa"/>
            <w:shd w:val="clear" w:color="auto" w:fill="F2F2F2"/>
            <w:tcMar>
              <w:top w:w="100" w:type="dxa"/>
              <w:left w:w="100" w:type="dxa"/>
              <w:bottom w:w="100" w:type="dxa"/>
              <w:right w:w="100" w:type="dxa"/>
            </w:tcMar>
            <w:vAlign w:val="center"/>
          </w:tcPr>
          <w:p w14:paraId="000002BE" w14:textId="77777777" w:rsidR="007F09CB" w:rsidRPr="00EA423C" w:rsidRDefault="00DB28EC" w:rsidP="00EA423C">
            <w:pPr>
              <w:spacing w:before="0" w:after="0"/>
              <w:jc w:val="center"/>
              <w:rPr>
                <w:b w:val="0"/>
                <w:bCs w:val="0"/>
                <w:lang w:val="lv-LV"/>
              </w:rPr>
            </w:pPr>
            <w:r w:rsidRPr="00EA423C">
              <w:rPr>
                <w:b w:val="0"/>
                <w:bCs w:val="0"/>
                <w:lang w:val="lv-LV"/>
              </w:rPr>
              <w:t>562 586</w:t>
            </w:r>
          </w:p>
        </w:tc>
        <w:tc>
          <w:tcPr>
            <w:tcW w:w="1197" w:type="dxa"/>
            <w:shd w:val="clear" w:color="auto" w:fill="F2F2F2"/>
            <w:tcMar>
              <w:top w:w="100" w:type="dxa"/>
              <w:left w:w="100" w:type="dxa"/>
              <w:bottom w:w="100" w:type="dxa"/>
              <w:right w:w="100" w:type="dxa"/>
            </w:tcMar>
            <w:vAlign w:val="center"/>
          </w:tcPr>
          <w:p w14:paraId="000002BF" w14:textId="77777777" w:rsidR="007F09CB" w:rsidRPr="00EA423C" w:rsidRDefault="00DB28EC" w:rsidP="00EA423C">
            <w:pPr>
              <w:spacing w:before="0" w:after="0"/>
              <w:jc w:val="center"/>
              <w:rPr>
                <w:b w:val="0"/>
                <w:bCs w:val="0"/>
                <w:lang w:val="lv-LV"/>
              </w:rPr>
            </w:pPr>
            <w:r w:rsidRPr="00EA423C">
              <w:rPr>
                <w:b w:val="0"/>
                <w:bCs w:val="0"/>
                <w:lang w:val="lv-LV"/>
              </w:rPr>
              <w:t>678 699</w:t>
            </w:r>
          </w:p>
        </w:tc>
        <w:tc>
          <w:tcPr>
            <w:tcW w:w="1196" w:type="dxa"/>
            <w:shd w:val="clear" w:color="auto" w:fill="F2F2F2"/>
            <w:tcMar>
              <w:top w:w="100" w:type="dxa"/>
              <w:left w:w="100" w:type="dxa"/>
              <w:bottom w:w="100" w:type="dxa"/>
              <w:right w:w="100" w:type="dxa"/>
            </w:tcMar>
            <w:vAlign w:val="center"/>
          </w:tcPr>
          <w:p w14:paraId="000002C0" w14:textId="77777777" w:rsidR="007F09CB" w:rsidRPr="00EA423C" w:rsidRDefault="00DB28EC" w:rsidP="00EA423C">
            <w:pPr>
              <w:spacing w:before="0" w:after="0"/>
              <w:jc w:val="center"/>
              <w:rPr>
                <w:b w:val="0"/>
                <w:bCs w:val="0"/>
                <w:lang w:val="lv-LV"/>
              </w:rPr>
            </w:pPr>
            <w:r w:rsidRPr="00EA423C">
              <w:rPr>
                <w:b w:val="0"/>
                <w:bCs w:val="0"/>
                <w:lang w:val="lv-LV"/>
              </w:rPr>
              <w:t>1 032 694</w:t>
            </w:r>
          </w:p>
        </w:tc>
        <w:tc>
          <w:tcPr>
            <w:tcW w:w="1197" w:type="dxa"/>
            <w:shd w:val="clear" w:color="auto" w:fill="F2F2F2"/>
            <w:tcMar>
              <w:top w:w="100" w:type="dxa"/>
              <w:left w:w="100" w:type="dxa"/>
              <w:bottom w:w="100" w:type="dxa"/>
              <w:right w:w="100" w:type="dxa"/>
            </w:tcMar>
            <w:vAlign w:val="center"/>
          </w:tcPr>
          <w:p w14:paraId="000002C1" w14:textId="77777777" w:rsidR="007F09CB" w:rsidRPr="00EA423C" w:rsidRDefault="00DB28EC" w:rsidP="00EA423C">
            <w:pPr>
              <w:spacing w:before="0" w:after="0"/>
              <w:jc w:val="center"/>
              <w:rPr>
                <w:b w:val="0"/>
                <w:bCs w:val="0"/>
                <w:lang w:val="lv-LV"/>
              </w:rPr>
            </w:pPr>
            <w:r w:rsidRPr="00EA423C">
              <w:rPr>
                <w:b w:val="0"/>
                <w:bCs w:val="0"/>
                <w:lang w:val="lv-LV"/>
              </w:rPr>
              <w:t>1 127 789</w:t>
            </w:r>
          </w:p>
        </w:tc>
      </w:tr>
      <w:tr w:rsidR="007F09CB" w:rsidRPr="0053072A" w14:paraId="7259F39B" w14:textId="77777777">
        <w:trPr>
          <w:trHeight w:val="20"/>
        </w:trPr>
        <w:tc>
          <w:tcPr>
            <w:tcW w:w="5925" w:type="dxa"/>
            <w:shd w:val="clear" w:color="auto" w:fill="F2F2F2"/>
            <w:tcMar>
              <w:top w:w="100" w:type="dxa"/>
              <w:left w:w="100" w:type="dxa"/>
              <w:bottom w:w="100" w:type="dxa"/>
              <w:right w:w="100" w:type="dxa"/>
            </w:tcMar>
          </w:tcPr>
          <w:p w14:paraId="000002C2" w14:textId="77777777" w:rsidR="007F09CB" w:rsidRPr="00EA423C" w:rsidRDefault="00DB28EC" w:rsidP="00EA423C">
            <w:pPr>
              <w:spacing w:before="0" w:after="0"/>
              <w:rPr>
                <w:b w:val="0"/>
                <w:bCs w:val="0"/>
                <w:lang w:val="lv-LV"/>
              </w:rPr>
            </w:pPr>
            <w:r w:rsidRPr="00EA423C">
              <w:rPr>
                <w:b w:val="0"/>
                <w:bCs w:val="0"/>
                <w:lang w:val="lv-LV"/>
              </w:rPr>
              <w:t>Infrastruktūras uzturēšanas izmaksas</w:t>
            </w:r>
          </w:p>
        </w:tc>
        <w:tc>
          <w:tcPr>
            <w:tcW w:w="1196" w:type="dxa"/>
            <w:shd w:val="clear" w:color="auto" w:fill="F2F2F2"/>
            <w:tcMar>
              <w:top w:w="100" w:type="dxa"/>
              <w:left w:w="100" w:type="dxa"/>
              <w:bottom w:w="100" w:type="dxa"/>
              <w:right w:w="100" w:type="dxa"/>
            </w:tcMar>
            <w:vAlign w:val="center"/>
          </w:tcPr>
          <w:p w14:paraId="000002C3" w14:textId="77777777" w:rsidR="007F09CB" w:rsidRPr="00EA423C" w:rsidRDefault="00DB28EC" w:rsidP="00EA423C">
            <w:pPr>
              <w:spacing w:before="0" w:after="0"/>
              <w:jc w:val="center"/>
              <w:rPr>
                <w:b w:val="0"/>
                <w:bCs w:val="0"/>
                <w:lang w:val="lv-LV"/>
              </w:rPr>
            </w:pPr>
            <w:r w:rsidRPr="00EA423C">
              <w:rPr>
                <w:b w:val="0"/>
                <w:bCs w:val="0"/>
                <w:lang w:val="lv-LV"/>
              </w:rPr>
              <w:t>14 238 814</w:t>
            </w:r>
          </w:p>
        </w:tc>
        <w:tc>
          <w:tcPr>
            <w:tcW w:w="1196" w:type="dxa"/>
            <w:shd w:val="clear" w:color="auto" w:fill="F2F2F2"/>
            <w:tcMar>
              <w:top w:w="100" w:type="dxa"/>
              <w:left w:w="100" w:type="dxa"/>
              <w:bottom w:w="100" w:type="dxa"/>
              <w:right w:w="100" w:type="dxa"/>
            </w:tcMar>
            <w:vAlign w:val="center"/>
          </w:tcPr>
          <w:p w14:paraId="000002C4" w14:textId="77777777" w:rsidR="007F09CB" w:rsidRPr="00EA423C" w:rsidRDefault="00DB28EC" w:rsidP="00EA423C">
            <w:pPr>
              <w:spacing w:before="0" w:after="0"/>
              <w:jc w:val="center"/>
              <w:rPr>
                <w:b w:val="0"/>
                <w:bCs w:val="0"/>
                <w:lang w:val="lv-LV"/>
              </w:rPr>
            </w:pPr>
            <w:r w:rsidRPr="00EA423C">
              <w:rPr>
                <w:b w:val="0"/>
                <w:bCs w:val="0"/>
                <w:lang w:val="lv-LV"/>
              </w:rPr>
              <w:t>14 112 027</w:t>
            </w:r>
          </w:p>
        </w:tc>
        <w:tc>
          <w:tcPr>
            <w:tcW w:w="1197" w:type="dxa"/>
            <w:shd w:val="clear" w:color="auto" w:fill="F2F2F2"/>
            <w:tcMar>
              <w:top w:w="100" w:type="dxa"/>
              <w:left w:w="100" w:type="dxa"/>
              <w:bottom w:w="100" w:type="dxa"/>
              <w:right w:w="100" w:type="dxa"/>
            </w:tcMar>
            <w:vAlign w:val="center"/>
          </w:tcPr>
          <w:p w14:paraId="000002C5" w14:textId="77777777" w:rsidR="007F09CB" w:rsidRPr="00EA423C" w:rsidRDefault="00DB28EC" w:rsidP="00EA423C">
            <w:pPr>
              <w:spacing w:before="0" w:after="0"/>
              <w:jc w:val="center"/>
              <w:rPr>
                <w:b w:val="0"/>
                <w:bCs w:val="0"/>
                <w:lang w:val="lv-LV"/>
              </w:rPr>
            </w:pPr>
            <w:r w:rsidRPr="00EA423C">
              <w:rPr>
                <w:b w:val="0"/>
                <w:bCs w:val="0"/>
                <w:lang w:val="lv-LV"/>
              </w:rPr>
              <w:t>14 594 652</w:t>
            </w:r>
          </w:p>
        </w:tc>
        <w:tc>
          <w:tcPr>
            <w:tcW w:w="1196" w:type="dxa"/>
            <w:shd w:val="clear" w:color="auto" w:fill="F2F2F2"/>
            <w:tcMar>
              <w:top w:w="100" w:type="dxa"/>
              <w:left w:w="100" w:type="dxa"/>
              <w:bottom w:w="100" w:type="dxa"/>
              <w:right w:w="100" w:type="dxa"/>
            </w:tcMar>
            <w:vAlign w:val="center"/>
          </w:tcPr>
          <w:p w14:paraId="000002C6" w14:textId="77777777" w:rsidR="007F09CB" w:rsidRPr="00EA423C" w:rsidRDefault="00DB28EC" w:rsidP="00EA423C">
            <w:pPr>
              <w:spacing w:before="0" w:after="0"/>
              <w:jc w:val="center"/>
              <w:rPr>
                <w:b w:val="0"/>
                <w:bCs w:val="0"/>
                <w:lang w:val="lv-LV"/>
              </w:rPr>
            </w:pPr>
            <w:r w:rsidRPr="00EA423C">
              <w:rPr>
                <w:b w:val="0"/>
                <w:bCs w:val="0"/>
                <w:lang w:val="lv-LV"/>
              </w:rPr>
              <w:t>13 254 892</w:t>
            </w:r>
          </w:p>
        </w:tc>
        <w:tc>
          <w:tcPr>
            <w:tcW w:w="1197" w:type="dxa"/>
            <w:shd w:val="clear" w:color="auto" w:fill="F2F2F2"/>
            <w:tcMar>
              <w:top w:w="100" w:type="dxa"/>
              <w:left w:w="100" w:type="dxa"/>
              <w:bottom w:w="100" w:type="dxa"/>
              <w:right w:w="100" w:type="dxa"/>
            </w:tcMar>
            <w:vAlign w:val="center"/>
          </w:tcPr>
          <w:p w14:paraId="000002C7" w14:textId="77777777" w:rsidR="007F09CB" w:rsidRPr="00EA423C" w:rsidRDefault="00DB28EC" w:rsidP="00EA423C">
            <w:pPr>
              <w:spacing w:before="0" w:after="0"/>
              <w:jc w:val="center"/>
              <w:rPr>
                <w:b w:val="0"/>
                <w:bCs w:val="0"/>
                <w:lang w:val="lv-LV"/>
              </w:rPr>
            </w:pPr>
            <w:r w:rsidRPr="00EA423C">
              <w:rPr>
                <w:b w:val="0"/>
                <w:bCs w:val="0"/>
                <w:lang w:val="lv-LV"/>
              </w:rPr>
              <w:t>11 900 391</w:t>
            </w:r>
          </w:p>
        </w:tc>
        <w:tc>
          <w:tcPr>
            <w:tcW w:w="1196" w:type="dxa"/>
            <w:shd w:val="clear" w:color="auto" w:fill="F2F2F2"/>
            <w:tcMar>
              <w:top w:w="100" w:type="dxa"/>
              <w:left w:w="100" w:type="dxa"/>
              <w:bottom w:w="100" w:type="dxa"/>
              <w:right w:w="100" w:type="dxa"/>
            </w:tcMar>
            <w:vAlign w:val="center"/>
          </w:tcPr>
          <w:p w14:paraId="000002C8" w14:textId="77777777" w:rsidR="007F09CB" w:rsidRPr="00EA423C" w:rsidRDefault="00DB28EC" w:rsidP="00EA423C">
            <w:pPr>
              <w:spacing w:before="0" w:after="0"/>
              <w:jc w:val="center"/>
              <w:rPr>
                <w:b w:val="0"/>
                <w:bCs w:val="0"/>
                <w:lang w:val="lv-LV"/>
              </w:rPr>
            </w:pPr>
            <w:r w:rsidRPr="00EA423C">
              <w:rPr>
                <w:b w:val="0"/>
                <w:bCs w:val="0"/>
                <w:lang w:val="lv-LV"/>
              </w:rPr>
              <w:t>10 572 512</w:t>
            </w:r>
          </w:p>
        </w:tc>
        <w:tc>
          <w:tcPr>
            <w:tcW w:w="1197" w:type="dxa"/>
            <w:shd w:val="clear" w:color="auto" w:fill="F2F2F2"/>
            <w:tcMar>
              <w:top w:w="100" w:type="dxa"/>
              <w:left w:w="100" w:type="dxa"/>
              <w:bottom w:w="100" w:type="dxa"/>
              <w:right w:w="100" w:type="dxa"/>
            </w:tcMar>
            <w:vAlign w:val="center"/>
          </w:tcPr>
          <w:p w14:paraId="000002C9" w14:textId="77777777" w:rsidR="007F09CB" w:rsidRPr="00EA423C" w:rsidRDefault="00DB28EC" w:rsidP="00EA423C">
            <w:pPr>
              <w:spacing w:before="0" w:after="0"/>
              <w:jc w:val="center"/>
              <w:rPr>
                <w:b w:val="0"/>
                <w:bCs w:val="0"/>
                <w:lang w:val="lv-LV"/>
              </w:rPr>
            </w:pPr>
            <w:r w:rsidRPr="00EA423C">
              <w:rPr>
                <w:b w:val="0"/>
                <w:bCs w:val="0"/>
                <w:lang w:val="lv-LV"/>
              </w:rPr>
              <w:t>10 463 070</w:t>
            </w:r>
          </w:p>
        </w:tc>
      </w:tr>
      <w:tr w:rsidR="007F09CB" w:rsidRPr="0053072A" w14:paraId="7FE3664F" w14:textId="77777777">
        <w:trPr>
          <w:trHeight w:val="20"/>
        </w:trPr>
        <w:tc>
          <w:tcPr>
            <w:tcW w:w="5925" w:type="dxa"/>
            <w:shd w:val="clear" w:color="auto" w:fill="F2F2F2"/>
            <w:tcMar>
              <w:top w:w="100" w:type="dxa"/>
              <w:left w:w="100" w:type="dxa"/>
              <w:bottom w:w="100" w:type="dxa"/>
              <w:right w:w="100" w:type="dxa"/>
            </w:tcMar>
          </w:tcPr>
          <w:p w14:paraId="000002CA" w14:textId="77777777" w:rsidR="007F09CB" w:rsidRPr="00EA423C" w:rsidRDefault="00DB28EC" w:rsidP="00EA423C">
            <w:pPr>
              <w:spacing w:before="0" w:after="0"/>
              <w:rPr>
                <w:b w:val="0"/>
                <w:bCs w:val="0"/>
                <w:lang w:val="lv-LV"/>
              </w:rPr>
            </w:pPr>
            <w:r w:rsidRPr="00EA423C">
              <w:rPr>
                <w:b w:val="0"/>
                <w:bCs w:val="0"/>
                <w:lang w:val="lv-LV"/>
              </w:rPr>
              <w:t>Procentu izmaksas</w:t>
            </w:r>
          </w:p>
        </w:tc>
        <w:tc>
          <w:tcPr>
            <w:tcW w:w="1196" w:type="dxa"/>
            <w:shd w:val="clear" w:color="auto" w:fill="F2F2F2"/>
            <w:tcMar>
              <w:top w:w="100" w:type="dxa"/>
              <w:left w:w="100" w:type="dxa"/>
              <w:bottom w:w="100" w:type="dxa"/>
              <w:right w:w="100" w:type="dxa"/>
            </w:tcMar>
            <w:vAlign w:val="center"/>
          </w:tcPr>
          <w:p w14:paraId="000002CB"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CC" w14:textId="77777777" w:rsidR="007F09CB" w:rsidRPr="00EA423C" w:rsidRDefault="00DB28EC" w:rsidP="00EA423C">
            <w:pPr>
              <w:spacing w:before="0" w:after="0"/>
              <w:jc w:val="center"/>
              <w:rPr>
                <w:b w:val="0"/>
                <w:bCs w:val="0"/>
                <w:lang w:val="lv-LV"/>
              </w:rPr>
            </w:pPr>
            <w:r w:rsidRPr="00EA423C">
              <w:rPr>
                <w:b w:val="0"/>
                <w:bCs w:val="0"/>
                <w:lang w:val="lv-LV"/>
              </w:rPr>
              <w:t>153 581</w:t>
            </w:r>
          </w:p>
        </w:tc>
        <w:tc>
          <w:tcPr>
            <w:tcW w:w="1197" w:type="dxa"/>
            <w:shd w:val="clear" w:color="auto" w:fill="F2F2F2"/>
            <w:tcMar>
              <w:top w:w="100" w:type="dxa"/>
              <w:left w:w="100" w:type="dxa"/>
              <w:bottom w:w="100" w:type="dxa"/>
              <w:right w:w="100" w:type="dxa"/>
            </w:tcMar>
            <w:vAlign w:val="center"/>
          </w:tcPr>
          <w:p w14:paraId="000002CD" w14:textId="77777777" w:rsidR="007F09CB" w:rsidRPr="00EA423C" w:rsidRDefault="00DB28EC" w:rsidP="00EA423C">
            <w:pPr>
              <w:spacing w:before="0" w:after="0"/>
              <w:jc w:val="center"/>
              <w:rPr>
                <w:b w:val="0"/>
                <w:bCs w:val="0"/>
                <w:lang w:val="lv-LV"/>
              </w:rPr>
            </w:pPr>
            <w:r w:rsidRPr="00EA423C">
              <w:rPr>
                <w:b w:val="0"/>
                <w:bCs w:val="0"/>
                <w:lang w:val="lv-LV"/>
              </w:rPr>
              <w:t>430 773</w:t>
            </w:r>
          </w:p>
        </w:tc>
        <w:tc>
          <w:tcPr>
            <w:tcW w:w="1196" w:type="dxa"/>
            <w:shd w:val="clear" w:color="auto" w:fill="F2F2F2"/>
            <w:tcMar>
              <w:top w:w="100" w:type="dxa"/>
              <w:left w:w="100" w:type="dxa"/>
              <w:bottom w:w="100" w:type="dxa"/>
              <w:right w:w="100" w:type="dxa"/>
            </w:tcMar>
            <w:vAlign w:val="center"/>
          </w:tcPr>
          <w:p w14:paraId="000002CE" w14:textId="77777777" w:rsidR="007F09CB" w:rsidRPr="00EA423C" w:rsidRDefault="00DB28EC" w:rsidP="00EA423C">
            <w:pPr>
              <w:spacing w:before="0" w:after="0"/>
              <w:jc w:val="center"/>
              <w:rPr>
                <w:b w:val="0"/>
                <w:bCs w:val="0"/>
                <w:lang w:val="lv-LV"/>
              </w:rPr>
            </w:pPr>
            <w:r w:rsidRPr="00EA423C">
              <w:rPr>
                <w:b w:val="0"/>
                <w:bCs w:val="0"/>
                <w:lang w:val="lv-LV"/>
              </w:rPr>
              <w:t>681 580</w:t>
            </w:r>
          </w:p>
        </w:tc>
        <w:tc>
          <w:tcPr>
            <w:tcW w:w="1197" w:type="dxa"/>
            <w:shd w:val="clear" w:color="auto" w:fill="F2F2F2"/>
            <w:tcMar>
              <w:top w:w="100" w:type="dxa"/>
              <w:left w:w="100" w:type="dxa"/>
              <w:bottom w:w="100" w:type="dxa"/>
              <w:right w:w="100" w:type="dxa"/>
            </w:tcMar>
            <w:vAlign w:val="center"/>
          </w:tcPr>
          <w:p w14:paraId="000002CF" w14:textId="77777777" w:rsidR="007F09CB" w:rsidRPr="00EA423C" w:rsidRDefault="00DB28EC" w:rsidP="00EA423C">
            <w:pPr>
              <w:spacing w:before="0" w:after="0"/>
              <w:jc w:val="center"/>
              <w:rPr>
                <w:b w:val="0"/>
                <w:bCs w:val="0"/>
                <w:lang w:val="lv-LV"/>
              </w:rPr>
            </w:pPr>
            <w:r w:rsidRPr="00EA423C">
              <w:rPr>
                <w:b w:val="0"/>
                <w:bCs w:val="0"/>
                <w:lang w:val="lv-LV"/>
              </w:rPr>
              <w:t>905 372</w:t>
            </w:r>
          </w:p>
        </w:tc>
        <w:tc>
          <w:tcPr>
            <w:tcW w:w="1196" w:type="dxa"/>
            <w:shd w:val="clear" w:color="auto" w:fill="F2F2F2"/>
            <w:tcMar>
              <w:top w:w="100" w:type="dxa"/>
              <w:left w:w="100" w:type="dxa"/>
              <w:bottom w:w="100" w:type="dxa"/>
              <w:right w:w="100" w:type="dxa"/>
            </w:tcMar>
            <w:vAlign w:val="center"/>
          </w:tcPr>
          <w:p w14:paraId="000002D0" w14:textId="77777777" w:rsidR="007F09CB" w:rsidRPr="00EA423C" w:rsidRDefault="00DB28EC" w:rsidP="00EA423C">
            <w:pPr>
              <w:spacing w:before="0" w:after="0"/>
              <w:jc w:val="center"/>
              <w:rPr>
                <w:b w:val="0"/>
                <w:bCs w:val="0"/>
                <w:lang w:val="lv-LV"/>
              </w:rPr>
            </w:pPr>
            <w:r w:rsidRPr="00EA423C">
              <w:rPr>
                <w:b w:val="0"/>
                <w:bCs w:val="0"/>
                <w:lang w:val="lv-LV"/>
              </w:rPr>
              <w:t>974 586</w:t>
            </w:r>
          </w:p>
        </w:tc>
        <w:tc>
          <w:tcPr>
            <w:tcW w:w="1197" w:type="dxa"/>
            <w:shd w:val="clear" w:color="auto" w:fill="F2F2F2"/>
            <w:tcMar>
              <w:top w:w="100" w:type="dxa"/>
              <w:left w:w="100" w:type="dxa"/>
              <w:bottom w:w="100" w:type="dxa"/>
              <w:right w:w="100" w:type="dxa"/>
            </w:tcMar>
            <w:vAlign w:val="center"/>
          </w:tcPr>
          <w:p w14:paraId="000002D1" w14:textId="77777777" w:rsidR="007F09CB" w:rsidRPr="00EA423C" w:rsidRDefault="00DB28EC" w:rsidP="00EA423C">
            <w:pPr>
              <w:spacing w:before="0" w:after="0"/>
              <w:jc w:val="center"/>
              <w:rPr>
                <w:b w:val="0"/>
                <w:bCs w:val="0"/>
                <w:lang w:val="lv-LV"/>
              </w:rPr>
            </w:pPr>
            <w:r w:rsidRPr="00EA423C">
              <w:rPr>
                <w:b w:val="0"/>
                <w:bCs w:val="0"/>
                <w:lang w:val="lv-LV"/>
              </w:rPr>
              <w:t>961 717</w:t>
            </w:r>
          </w:p>
        </w:tc>
      </w:tr>
      <w:tr w:rsidR="007F09CB" w:rsidRPr="0053072A" w14:paraId="51D8DF35" w14:textId="77777777">
        <w:trPr>
          <w:trHeight w:val="20"/>
        </w:trPr>
        <w:tc>
          <w:tcPr>
            <w:tcW w:w="5925" w:type="dxa"/>
            <w:shd w:val="clear" w:color="auto" w:fill="D9D9D9"/>
            <w:tcMar>
              <w:top w:w="100" w:type="dxa"/>
              <w:left w:w="100" w:type="dxa"/>
              <w:bottom w:w="100" w:type="dxa"/>
              <w:right w:w="100" w:type="dxa"/>
            </w:tcMar>
          </w:tcPr>
          <w:p w14:paraId="000002D2" w14:textId="77777777" w:rsidR="007F09CB" w:rsidRPr="00EA423C" w:rsidRDefault="00DB28EC" w:rsidP="00EA423C">
            <w:pPr>
              <w:spacing w:before="0" w:after="0"/>
              <w:rPr>
                <w:b w:val="0"/>
                <w:bCs w:val="0"/>
                <w:lang w:val="lv-LV"/>
              </w:rPr>
            </w:pPr>
            <w:r w:rsidRPr="00EA423C">
              <w:rPr>
                <w:b w:val="0"/>
                <w:bCs w:val="0"/>
                <w:lang w:val="lv-LV"/>
              </w:rPr>
              <w:t>Kopā citas izmaksas</w:t>
            </w:r>
          </w:p>
        </w:tc>
        <w:tc>
          <w:tcPr>
            <w:tcW w:w="1196" w:type="dxa"/>
            <w:shd w:val="clear" w:color="auto" w:fill="D9D9D9"/>
            <w:tcMar>
              <w:top w:w="100" w:type="dxa"/>
              <w:left w:w="100" w:type="dxa"/>
              <w:bottom w:w="100" w:type="dxa"/>
              <w:right w:w="100" w:type="dxa"/>
            </w:tcMar>
            <w:vAlign w:val="center"/>
          </w:tcPr>
          <w:p w14:paraId="000002D3" w14:textId="77777777" w:rsidR="007F09CB" w:rsidRPr="00EA423C" w:rsidRDefault="00DB28EC" w:rsidP="00EA423C">
            <w:pPr>
              <w:spacing w:before="0" w:after="0"/>
              <w:jc w:val="center"/>
              <w:rPr>
                <w:b w:val="0"/>
                <w:bCs w:val="0"/>
                <w:lang w:val="lv-LV"/>
              </w:rPr>
            </w:pPr>
            <w:r w:rsidRPr="00EA423C">
              <w:rPr>
                <w:b w:val="0"/>
                <w:bCs w:val="0"/>
                <w:lang w:val="lv-LV"/>
              </w:rPr>
              <w:t>14 424 352</w:t>
            </w:r>
          </w:p>
        </w:tc>
        <w:tc>
          <w:tcPr>
            <w:tcW w:w="1196" w:type="dxa"/>
            <w:shd w:val="clear" w:color="auto" w:fill="D9D9D9"/>
            <w:tcMar>
              <w:top w:w="100" w:type="dxa"/>
              <w:left w:w="100" w:type="dxa"/>
              <w:bottom w:w="100" w:type="dxa"/>
              <w:right w:w="100" w:type="dxa"/>
            </w:tcMar>
            <w:vAlign w:val="center"/>
          </w:tcPr>
          <w:p w14:paraId="000002D4" w14:textId="77777777" w:rsidR="007F09CB" w:rsidRPr="00EA423C" w:rsidRDefault="00DB28EC" w:rsidP="00EA423C">
            <w:pPr>
              <w:spacing w:before="0" w:after="0"/>
              <w:jc w:val="center"/>
              <w:rPr>
                <w:b w:val="0"/>
                <w:bCs w:val="0"/>
                <w:lang w:val="lv-LV"/>
              </w:rPr>
            </w:pPr>
            <w:r w:rsidRPr="00EA423C">
              <w:rPr>
                <w:b w:val="0"/>
                <w:bCs w:val="0"/>
                <w:lang w:val="lv-LV"/>
              </w:rPr>
              <w:t>14 529 993</w:t>
            </w:r>
          </w:p>
        </w:tc>
        <w:tc>
          <w:tcPr>
            <w:tcW w:w="1197" w:type="dxa"/>
            <w:shd w:val="clear" w:color="auto" w:fill="D9D9D9"/>
            <w:tcMar>
              <w:top w:w="100" w:type="dxa"/>
              <w:left w:w="100" w:type="dxa"/>
              <w:bottom w:w="100" w:type="dxa"/>
              <w:right w:w="100" w:type="dxa"/>
            </w:tcMar>
            <w:vAlign w:val="center"/>
          </w:tcPr>
          <w:p w14:paraId="000002D5" w14:textId="77777777" w:rsidR="007F09CB" w:rsidRPr="00EA423C" w:rsidRDefault="00DB28EC" w:rsidP="00EA423C">
            <w:pPr>
              <w:spacing w:before="0" w:after="0"/>
              <w:jc w:val="center"/>
              <w:rPr>
                <w:b w:val="0"/>
                <w:bCs w:val="0"/>
                <w:lang w:val="lv-LV"/>
              </w:rPr>
            </w:pPr>
            <w:r w:rsidRPr="00EA423C">
              <w:rPr>
                <w:b w:val="0"/>
                <w:bCs w:val="0"/>
                <w:lang w:val="lv-LV"/>
              </w:rPr>
              <w:t>15 489 537</w:t>
            </w:r>
          </w:p>
        </w:tc>
        <w:tc>
          <w:tcPr>
            <w:tcW w:w="1196" w:type="dxa"/>
            <w:shd w:val="clear" w:color="auto" w:fill="D9D9D9"/>
            <w:tcMar>
              <w:top w:w="100" w:type="dxa"/>
              <w:left w:w="100" w:type="dxa"/>
              <w:bottom w:w="100" w:type="dxa"/>
              <w:right w:w="100" w:type="dxa"/>
            </w:tcMar>
            <w:vAlign w:val="center"/>
          </w:tcPr>
          <w:p w14:paraId="000002D6" w14:textId="77777777" w:rsidR="007F09CB" w:rsidRPr="00EA423C" w:rsidRDefault="00DB28EC" w:rsidP="00EA423C">
            <w:pPr>
              <w:spacing w:before="0" w:after="0"/>
              <w:jc w:val="center"/>
              <w:rPr>
                <w:b w:val="0"/>
                <w:bCs w:val="0"/>
                <w:lang w:val="lv-LV"/>
              </w:rPr>
            </w:pPr>
            <w:r w:rsidRPr="00EA423C">
              <w:rPr>
                <w:b w:val="0"/>
                <w:bCs w:val="0"/>
                <w:lang w:val="lv-LV"/>
              </w:rPr>
              <w:t>14 450 269</w:t>
            </w:r>
          </w:p>
        </w:tc>
        <w:tc>
          <w:tcPr>
            <w:tcW w:w="1197" w:type="dxa"/>
            <w:shd w:val="clear" w:color="auto" w:fill="D9D9D9"/>
            <w:tcMar>
              <w:top w:w="100" w:type="dxa"/>
              <w:left w:w="100" w:type="dxa"/>
              <w:bottom w:w="100" w:type="dxa"/>
              <w:right w:w="100" w:type="dxa"/>
            </w:tcMar>
            <w:vAlign w:val="center"/>
          </w:tcPr>
          <w:p w14:paraId="000002D7" w14:textId="77777777" w:rsidR="007F09CB" w:rsidRPr="00EA423C" w:rsidRDefault="00DB28EC" w:rsidP="00EA423C">
            <w:pPr>
              <w:spacing w:before="0" w:after="0"/>
              <w:jc w:val="center"/>
              <w:rPr>
                <w:b w:val="0"/>
                <w:bCs w:val="0"/>
                <w:lang w:val="lv-LV"/>
              </w:rPr>
            </w:pPr>
            <w:r w:rsidRPr="00EA423C">
              <w:rPr>
                <w:b w:val="0"/>
                <w:bCs w:val="0"/>
                <w:lang w:val="lv-LV"/>
              </w:rPr>
              <w:t>13 429 250</w:t>
            </w:r>
          </w:p>
        </w:tc>
        <w:tc>
          <w:tcPr>
            <w:tcW w:w="1196" w:type="dxa"/>
            <w:shd w:val="clear" w:color="auto" w:fill="D9D9D9"/>
            <w:tcMar>
              <w:top w:w="100" w:type="dxa"/>
              <w:left w:w="100" w:type="dxa"/>
              <w:bottom w:w="100" w:type="dxa"/>
              <w:right w:w="100" w:type="dxa"/>
            </w:tcMar>
            <w:vAlign w:val="center"/>
          </w:tcPr>
          <w:p w14:paraId="000002D8" w14:textId="77777777" w:rsidR="007F09CB" w:rsidRPr="00EA423C" w:rsidRDefault="00DB28EC" w:rsidP="00EA423C">
            <w:pPr>
              <w:spacing w:before="0" w:after="0"/>
              <w:jc w:val="center"/>
              <w:rPr>
                <w:b w:val="0"/>
                <w:bCs w:val="0"/>
                <w:lang w:val="lv-LV"/>
              </w:rPr>
            </w:pPr>
            <w:r w:rsidRPr="00EA423C">
              <w:rPr>
                <w:b w:val="0"/>
                <w:bCs w:val="0"/>
                <w:lang w:val="lv-LV"/>
              </w:rPr>
              <w:t>7 482 977</w:t>
            </w:r>
          </w:p>
        </w:tc>
        <w:tc>
          <w:tcPr>
            <w:tcW w:w="1197" w:type="dxa"/>
            <w:shd w:val="clear" w:color="auto" w:fill="D9D9D9"/>
            <w:tcMar>
              <w:top w:w="100" w:type="dxa"/>
              <w:left w:w="100" w:type="dxa"/>
              <w:bottom w:w="100" w:type="dxa"/>
              <w:right w:w="100" w:type="dxa"/>
            </w:tcMar>
            <w:vAlign w:val="center"/>
          </w:tcPr>
          <w:p w14:paraId="000002D9" w14:textId="77777777" w:rsidR="007F09CB" w:rsidRPr="00EA423C" w:rsidRDefault="00DB28EC" w:rsidP="00EA423C">
            <w:pPr>
              <w:spacing w:before="0" w:after="0"/>
              <w:jc w:val="center"/>
              <w:rPr>
                <w:b w:val="0"/>
                <w:bCs w:val="0"/>
                <w:lang w:val="lv-LV"/>
              </w:rPr>
            </w:pPr>
            <w:r w:rsidRPr="00EA423C">
              <w:rPr>
                <w:b w:val="0"/>
                <w:bCs w:val="0"/>
                <w:lang w:val="lv-LV"/>
              </w:rPr>
              <w:t>4 449 303</w:t>
            </w:r>
          </w:p>
        </w:tc>
      </w:tr>
      <w:tr w:rsidR="007F09CB" w:rsidRPr="0053072A" w14:paraId="07F7CD7F" w14:textId="77777777">
        <w:trPr>
          <w:trHeight w:val="20"/>
        </w:trPr>
        <w:tc>
          <w:tcPr>
            <w:tcW w:w="5925" w:type="dxa"/>
            <w:shd w:val="clear" w:color="auto" w:fill="D9D9D9"/>
            <w:tcMar>
              <w:top w:w="100" w:type="dxa"/>
              <w:left w:w="100" w:type="dxa"/>
              <w:bottom w:w="100" w:type="dxa"/>
              <w:right w:w="100" w:type="dxa"/>
            </w:tcMar>
          </w:tcPr>
          <w:p w14:paraId="000002DA" w14:textId="77777777" w:rsidR="007F09CB" w:rsidRPr="00EA423C" w:rsidRDefault="00DB28EC" w:rsidP="00EA423C">
            <w:pPr>
              <w:spacing w:before="0" w:after="0"/>
              <w:rPr>
                <w:b w:val="0"/>
                <w:bCs w:val="0"/>
                <w:lang w:val="lv-LV"/>
              </w:rPr>
            </w:pPr>
            <w:r w:rsidRPr="00EA423C">
              <w:rPr>
                <w:b w:val="0"/>
                <w:bCs w:val="0"/>
                <w:lang w:val="lv-LV"/>
              </w:rPr>
              <w:t>EBIT</w:t>
            </w:r>
          </w:p>
        </w:tc>
        <w:tc>
          <w:tcPr>
            <w:tcW w:w="1196" w:type="dxa"/>
            <w:shd w:val="clear" w:color="auto" w:fill="D9D9D9"/>
            <w:tcMar>
              <w:top w:w="100" w:type="dxa"/>
              <w:left w:w="100" w:type="dxa"/>
              <w:bottom w:w="100" w:type="dxa"/>
              <w:right w:w="100" w:type="dxa"/>
            </w:tcMar>
            <w:vAlign w:val="center"/>
          </w:tcPr>
          <w:p w14:paraId="000002DB" w14:textId="77777777" w:rsidR="007F09CB" w:rsidRPr="00EA423C" w:rsidRDefault="00DB28EC" w:rsidP="00EA423C">
            <w:pPr>
              <w:spacing w:before="0" w:after="0"/>
              <w:jc w:val="center"/>
              <w:rPr>
                <w:b w:val="0"/>
                <w:bCs w:val="0"/>
                <w:lang w:val="lv-LV"/>
              </w:rPr>
            </w:pPr>
            <w:r w:rsidRPr="00EA423C">
              <w:rPr>
                <w:b w:val="0"/>
                <w:bCs w:val="0"/>
                <w:lang w:val="lv-LV"/>
              </w:rPr>
              <w:t>10 279 492</w:t>
            </w:r>
          </w:p>
        </w:tc>
        <w:tc>
          <w:tcPr>
            <w:tcW w:w="1196" w:type="dxa"/>
            <w:shd w:val="clear" w:color="auto" w:fill="D9D9D9"/>
            <w:tcMar>
              <w:top w:w="100" w:type="dxa"/>
              <w:left w:w="100" w:type="dxa"/>
              <w:bottom w:w="100" w:type="dxa"/>
              <w:right w:w="100" w:type="dxa"/>
            </w:tcMar>
            <w:vAlign w:val="center"/>
          </w:tcPr>
          <w:p w14:paraId="000002DC" w14:textId="77777777" w:rsidR="007F09CB" w:rsidRPr="00EA423C" w:rsidRDefault="00DB28EC" w:rsidP="00EA423C">
            <w:pPr>
              <w:spacing w:before="0" w:after="0"/>
              <w:jc w:val="center"/>
              <w:rPr>
                <w:b w:val="0"/>
                <w:bCs w:val="0"/>
                <w:lang w:val="lv-LV"/>
              </w:rPr>
            </w:pPr>
            <w:r w:rsidRPr="00EA423C">
              <w:rPr>
                <w:b w:val="0"/>
                <w:bCs w:val="0"/>
                <w:lang w:val="lv-LV"/>
              </w:rPr>
              <w:t>-10 279 492</w:t>
            </w:r>
          </w:p>
        </w:tc>
        <w:tc>
          <w:tcPr>
            <w:tcW w:w="1197" w:type="dxa"/>
            <w:shd w:val="clear" w:color="auto" w:fill="D9D9D9"/>
            <w:tcMar>
              <w:top w:w="100" w:type="dxa"/>
              <w:left w:w="100" w:type="dxa"/>
              <w:bottom w:w="100" w:type="dxa"/>
              <w:right w:w="100" w:type="dxa"/>
            </w:tcMar>
            <w:vAlign w:val="center"/>
          </w:tcPr>
          <w:p w14:paraId="000002DD" w14:textId="77777777" w:rsidR="007F09CB" w:rsidRPr="00EA423C" w:rsidRDefault="00DB28EC" w:rsidP="00EA423C">
            <w:pPr>
              <w:spacing w:before="0" w:after="0"/>
              <w:jc w:val="center"/>
              <w:rPr>
                <w:b w:val="0"/>
                <w:bCs w:val="0"/>
                <w:lang w:val="lv-LV"/>
              </w:rPr>
            </w:pPr>
            <w:r w:rsidRPr="00EA423C">
              <w:rPr>
                <w:b w:val="0"/>
                <w:bCs w:val="0"/>
                <w:lang w:val="lv-LV"/>
              </w:rPr>
              <w:t>5 597 185</w:t>
            </w:r>
          </w:p>
        </w:tc>
        <w:tc>
          <w:tcPr>
            <w:tcW w:w="1196" w:type="dxa"/>
            <w:shd w:val="clear" w:color="auto" w:fill="D9D9D9"/>
            <w:tcMar>
              <w:top w:w="100" w:type="dxa"/>
              <w:left w:w="100" w:type="dxa"/>
              <w:bottom w:w="100" w:type="dxa"/>
              <w:right w:w="100" w:type="dxa"/>
            </w:tcMar>
            <w:vAlign w:val="center"/>
          </w:tcPr>
          <w:p w14:paraId="000002DE"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7" w:type="dxa"/>
            <w:shd w:val="clear" w:color="auto" w:fill="D9D9D9"/>
            <w:tcMar>
              <w:top w:w="100" w:type="dxa"/>
              <w:left w:w="100" w:type="dxa"/>
              <w:bottom w:w="100" w:type="dxa"/>
              <w:right w:w="100" w:type="dxa"/>
            </w:tcMar>
            <w:vAlign w:val="center"/>
          </w:tcPr>
          <w:p w14:paraId="000002DF"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6" w:type="dxa"/>
            <w:shd w:val="clear" w:color="auto" w:fill="D9D9D9"/>
            <w:tcMar>
              <w:top w:w="100" w:type="dxa"/>
              <w:left w:w="100" w:type="dxa"/>
              <w:bottom w:w="100" w:type="dxa"/>
              <w:right w:w="100" w:type="dxa"/>
            </w:tcMar>
            <w:vAlign w:val="center"/>
          </w:tcPr>
          <w:p w14:paraId="000002E0"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7" w:type="dxa"/>
            <w:shd w:val="clear" w:color="auto" w:fill="D9D9D9"/>
            <w:tcMar>
              <w:top w:w="100" w:type="dxa"/>
              <w:left w:w="100" w:type="dxa"/>
              <w:bottom w:w="100" w:type="dxa"/>
              <w:right w:w="100" w:type="dxa"/>
            </w:tcMar>
            <w:vAlign w:val="center"/>
          </w:tcPr>
          <w:p w14:paraId="000002E1" w14:textId="77777777" w:rsidR="007F09CB" w:rsidRPr="00EA423C" w:rsidRDefault="00DB28EC" w:rsidP="00EA423C">
            <w:pPr>
              <w:spacing w:before="0" w:after="0"/>
              <w:jc w:val="center"/>
              <w:rPr>
                <w:b w:val="0"/>
                <w:bCs w:val="0"/>
                <w:lang w:val="lv-LV"/>
              </w:rPr>
            </w:pPr>
            <w:r w:rsidRPr="00EA423C">
              <w:rPr>
                <w:b w:val="0"/>
                <w:bCs w:val="0"/>
                <w:lang w:val="lv-LV"/>
              </w:rPr>
              <w:t>1 000 000</w:t>
            </w:r>
          </w:p>
        </w:tc>
      </w:tr>
      <w:tr w:rsidR="007F09CB" w:rsidRPr="0053072A" w14:paraId="4893416D" w14:textId="77777777">
        <w:trPr>
          <w:trHeight w:val="20"/>
        </w:trPr>
        <w:tc>
          <w:tcPr>
            <w:tcW w:w="5925" w:type="dxa"/>
            <w:shd w:val="clear" w:color="auto" w:fill="F2F2F2"/>
            <w:tcMar>
              <w:top w:w="100" w:type="dxa"/>
              <w:left w:w="100" w:type="dxa"/>
              <w:bottom w:w="100" w:type="dxa"/>
              <w:right w:w="100" w:type="dxa"/>
            </w:tcMar>
          </w:tcPr>
          <w:p w14:paraId="000002E2" w14:textId="77777777" w:rsidR="007F09CB" w:rsidRPr="00EA423C" w:rsidRDefault="00DB28EC" w:rsidP="00EA423C">
            <w:pPr>
              <w:spacing w:before="0" w:after="0"/>
              <w:rPr>
                <w:b w:val="0"/>
                <w:bCs w:val="0"/>
                <w:lang w:val="lv-LV"/>
              </w:rPr>
            </w:pPr>
            <w:r w:rsidRPr="00EA423C">
              <w:rPr>
                <w:b w:val="0"/>
                <w:bCs w:val="0"/>
                <w:lang w:val="lv-LV"/>
              </w:rPr>
              <w:t>Dividendes</w:t>
            </w:r>
          </w:p>
        </w:tc>
        <w:tc>
          <w:tcPr>
            <w:tcW w:w="1196" w:type="dxa"/>
            <w:shd w:val="clear" w:color="auto" w:fill="F2F2F2"/>
            <w:tcMar>
              <w:top w:w="100" w:type="dxa"/>
              <w:left w:w="100" w:type="dxa"/>
              <w:bottom w:w="100" w:type="dxa"/>
              <w:right w:w="100" w:type="dxa"/>
            </w:tcMar>
            <w:vAlign w:val="center"/>
          </w:tcPr>
          <w:p w14:paraId="000002E3"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E4"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E5"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E6"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E7"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E8"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E9" w14:textId="77777777" w:rsidR="007F09CB" w:rsidRPr="00EA423C" w:rsidRDefault="00DB28EC" w:rsidP="00EA423C">
            <w:pPr>
              <w:spacing w:before="0" w:after="0"/>
              <w:jc w:val="center"/>
              <w:rPr>
                <w:b w:val="0"/>
                <w:bCs w:val="0"/>
                <w:lang w:val="lv-LV"/>
              </w:rPr>
            </w:pPr>
            <w:r w:rsidRPr="00EA423C">
              <w:rPr>
                <w:b w:val="0"/>
                <w:bCs w:val="0"/>
                <w:lang w:val="lv-LV"/>
              </w:rPr>
              <w:t>-</w:t>
            </w:r>
          </w:p>
        </w:tc>
      </w:tr>
      <w:tr w:rsidR="007F09CB" w:rsidRPr="0053072A" w14:paraId="5441C697" w14:textId="77777777">
        <w:trPr>
          <w:trHeight w:val="20"/>
        </w:trPr>
        <w:tc>
          <w:tcPr>
            <w:tcW w:w="5925" w:type="dxa"/>
            <w:shd w:val="clear" w:color="auto" w:fill="F2F2F2"/>
            <w:tcMar>
              <w:top w:w="100" w:type="dxa"/>
              <w:left w:w="100" w:type="dxa"/>
              <w:bottom w:w="100" w:type="dxa"/>
              <w:right w:w="100" w:type="dxa"/>
            </w:tcMar>
          </w:tcPr>
          <w:p w14:paraId="000002EA" w14:textId="77777777" w:rsidR="007F09CB" w:rsidRPr="00EA423C" w:rsidRDefault="00DB28EC" w:rsidP="00EA423C">
            <w:pPr>
              <w:spacing w:before="0" w:after="0"/>
              <w:rPr>
                <w:b w:val="0"/>
                <w:bCs w:val="0"/>
                <w:lang w:val="lv-LV"/>
              </w:rPr>
            </w:pPr>
            <w:r w:rsidRPr="00EA423C">
              <w:rPr>
                <w:b w:val="0"/>
                <w:bCs w:val="0"/>
                <w:lang w:val="lv-LV"/>
              </w:rPr>
              <w:t>UIN maksājumi</w:t>
            </w:r>
          </w:p>
        </w:tc>
        <w:tc>
          <w:tcPr>
            <w:tcW w:w="1196" w:type="dxa"/>
            <w:shd w:val="clear" w:color="auto" w:fill="F2F2F2"/>
            <w:tcMar>
              <w:top w:w="100" w:type="dxa"/>
              <w:left w:w="100" w:type="dxa"/>
              <w:bottom w:w="100" w:type="dxa"/>
              <w:right w:w="100" w:type="dxa"/>
            </w:tcMar>
            <w:vAlign w:val="center"/>
          </w:tcPr>
          <w:p w14:paraId="000002EB"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EC"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ED"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EE"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EF"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6" w:type="dxa"/>
            <w:shd w:val="clear" w:color="auto" w:fill="F2F2F2"/>
            <w:tcMar>
              <w:top w:w="100" w:type="dxa"/>
              <w:left w:w="100" w:type="dxa"/>
              <w:bottom w:w="100" w:type="dxa"/>
              <w:right w:w="100" w:type="dxa"/>
            </w:tcMar>
            <w:vAlign w:val="center"/>
          </w:tcPr>
          <w:p w14:paraId="000002F0"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197" w:type="dxa"/>
            <w:shd w:val="clear" w:color="auto" w:fill="F2F2F2"/>
            <w:tcMar>
              <w:top w:w="100" w:type="dxa"/>
              <w:left w:w="100" w:type="dxa"/>
              <w:bottom w:w="100" w:type="dxa"/>
              <w:right w:w="100" w:type="dxa"/>
            </w:tcMar>
            <w:vAlign w:val="center"/>
          </w:tcPr>
          <w:p w14:paraId="000002F1" w14:textId="77777777" w:rsidR="007F09CB" w:rsidRPr="00EA423C" w:rsidRDefault="00DB28EC" w:rsidP="00EA423C">
            <w:pPr>
              <w:spacing w:before="0" w:after="0"/>
              <w:jc w:val="center"/>
              <w:rPr>
                <w:b w:val="0"/>
                <w:bCs w:val="0"/>
                <w:lang w:val="lv-LV"/>
              </w:rPr>
            </w:pPr>
            <w:r w:rsidRPr="00EA423C">
              <w:rPr>
                <w:b w:val="0"/>
                <w:bCs w:val="0"/>
                <w:lang w:val="lv-LV"/>
              </w:rPr>
              <w:t>-</w:t>
            </w:r>
          </w:p>
        </w:tc>
      </w:tr>
      <w:tr w:rsidR="007F09CB" w:rsidRPr="0053072A" w14:paraId="7A6C8072" w14:textId="77777777">
        <w:trPr>
          <w:trHeight w:val="20"/>
        </w:trPr>
        <w:tc>
          <w:tcPr>
            <w:tcW w:w="5925" w:type="dxa"/>
            <w:shd w:val="clear" w:color="auto" w:fill="D9D9D9"/>
            <w:tcMar>
              <w:top w:w="100" w:type="dxa"/>
              <w:left w:w="100" w:type="dxa"/>
              <w:bottom w:w="100" w:type="dxa"/>
              <w:right w:w="100" w:type="dxa"/>
            </w:tcMar>
          </w:tcPr>
          <w:p w14:paraId="000002F2" w14:textId="77777777" w:rsidR="007F09CB" w:rsidRPr="00EA423C" w:rsidRDefault="00DB28EC" w:rsidP="00EA423C">
            <w:pPr>
              <w:spacing w:before="0" w:after="0"/>
              <w:rPr>
                <w:b w:val="0"/>
                <w:bCs w:val="0"/>
                <w:lang w:val="lv-LV"/>
              </w:rPr>
            </w:pPr>
            <w:r w:rsidRPr="00EA423C">
              <w:rPr>
                <w:b w:val="0"/>
                <w:bCs w:val="0"/>
                <w:lang w:val="lv-LV"/>
              </w:rPr>
              <w:t>Neto peļņa</w:t>
            </w:r>
          </w:p>
        </w:tc>
        <w:tc>
          <w:tcPr>
            <w:tcW w:w="1196" w:type="dxa"/>
            <w:shd w:val="clear" w:color="auto" w:fill="D9D9D9"/>
            <w:tcMar>
              <w:top w:w="100" w:type="dxa"/>
              <w:left w:w="100" w:type="dxa"/>
              <w:bottom w:w="100" w:type="dxa"/>
              <w:right w:w="100" w:type="dxa"/>
            </w:tcMar>
            <w:vAlign w:val="center"/>
          </w:tcPr>
          <w:p w14:paraId="000002F3" w14:textId="77777777" w:rsidR="007F09CB" w:rsidRPr="00EA423C" w:rsidRDefault="00DB28EC" w:rsidP="00EA423C">
            <w:pPr>
              <w:spacing w:before="0" w:after="0"/>
              <w:jc w:val="center"/>
              <w:rPr>
                <w:b w:val="0"/>
                <w:bCs w:val="0"/>
                <w:lang w:val="lv-LV"/>
              </w:rPr>
            </w:pPr>
            <w:r w:rsidRPr="00EA423C">
              <w:rPr>
                <w:b w:val="0"/>
                <w:bCs w:val="0"/>
                <w:lang w:val="lv-LV"/>
              </w:rPr>
              <w:t>10 279 492</w:t>
            </w:r>
          </w:p>
        </w:tc>
        <w:tc>
          <w:tcPr>
            <w:tcW w:w="1196" w:type="dxa"/>
            <w:shd w:val="clear" w:color="auto" w:fill="D9D9D9"/>
            <w:tcMar>
              <w:top w:w="100" w:type="dxa"/>
              <w:left w:w="100" w:type="dxa"/>
              <w:bottom w:w="100" w:type="dxa"/>
              <w:right w:w="100" w:type="dxa"/>
            </w:tcMar>
            <w:vAlign w:val="center"/>
          </w:tcPr>
          <w:p w14:paraId="000002F4" w14:textId="77777777" w:rsidR="007F09CB" w:rsidRPr="00EA423C" w:rsidRDefault="00DB28EC" w:rsidP="00EA423C">
            <w:pPr>
              <w:spacing w:before="0" w:after="0"/>
              <w:jc w:val="center"/>
              <w:rPr>
                <w:b w:val="0"/>
                <w:bCs w:val="0"/>
                <w:lang w:val="lv-LV"/>
              </w:rPr>
            </w:pPr>
            <w:r w:rsidRPr="00EA423C">
              <w:rPr>
                <w:b w:val="0"/>
                <w:bCs w:val="0"/>
                <w:lang w:val="lv-LV"/>
              </w:rPr>
              <w:t>-10 279 492</w:t>
            </w:r>
          </w:p>
        </w:tc>
        <w:tc>
          <w:tcPr>
            <w:tcW w:w="1197" w:type="dxa"/>
            <w:shd w:val="clear" w:color="auto" w:fill="D9D9D9"/>
            <w:tcMar>
              <w:top w:w="100" w:type="dxa"/>
              <w:left w:w="100" w:type="dxa"/>
              <w:bottom w:w="100" w:type="dxa"/>
              <w:right w:w="100" w:type="dxa"/>
            </w:tcMar>
            <w:vAlign w:val="center"/>
          </w:tcPr>
          <w:p w14:paraId="000002F5" w14:textId="77777777" w:rsidR="007F09CB" w:rsidRPr="00EA423C" w:rsidRDefault="00DB28EC" w:rsidP="00EA423C">
            <w:pPr>
              <w:spacing w:before="0" w:after="0"/>
              <w:jc w:val="center"/>
              <w:rPr>
                <w:b w:val="0"/>
                <w:bCs w:val="0"/>
                <w:lang w:val="lv-LV"/>
              </w:rPr>
            </w:pPr>
            <w:r w:rsidRPr="00EA423C">
              <w:rPr>
                <w:b w:val="0"/>
                <w:bCs w:val="0"/>
                <w:lang w:val="lv-LV"/>
              </w:rPr>
              <w:t>5 597 185</w:t>
            </w:r>
          </w:p>
        </w:tc>
        <w:tc>
          <w:tcPr>
            <w:tcW w:w="1196" w:type="dxa"/>
            <w:shd w:val="clear" w:color="auto" w:fill="D9D9D9"/>
            <w:tcMar>
              <w:top w:w="100" w:type="dxa"/>
              <w:left w:w="100" w:type="dxa"/>
              <w:bottom w:w="100" w:type="dxa"/>
              <w:right w:w="100" w:type="dxa"/>
            </w:tcMar>
            <w:vAlign w:val="center"/>
          </w:tcPr>
          <w:p w14:paraId="000002F6"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7" w:type="dxa"/>
            <w:shd w:val="clear" w:color="auto" w:fill="D9D9D9"/>
            <w:tcMar>
              <w:top w:w="100" w:type="dxa"/>
              <w:left w:w="100" w:type="dxa"/>
              <w:bottom w:w="100" w:type="dxa"/>
              <w:right w:w="100" w:type="dxa"/>
            </w:tcMar>
            <w:vAlign w:val="center"/>
          </w:tcPr>
          <w:p w14:paraId="000002F7"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6" w:type="dxa"/>
            <w:shd w:val="clear" w:color="auto" w:fill="D9D9D9"/>
            <w:tcMar>
              <w:top w:w="100" w:type="dxa"/>
              <w:left w:w="100" w:type="dxa"/>
              <w:bottom w:w="100" w:type="dxa"/>
              <w:right w:w="100" w:type="dxa"/>
            </w:tcMar>
            <w:vAlign w:val="center"/>
          </w:tcPr>
          <w:p w14:paraId="000002F8" w14:textId="77777777" w:rsidR="007F09CB" w:rsidRPr="00EA423C" w:rsidRDefault="00DB28EC" w:rsidP="00EA423C">
            <w:pPr>
              <w:spacing w:before="0" w:after="0"/>
              <w:jc w:val="center"/>
              <w:rPr>
                <w:b w:val="0"/>
                <w:bCs w:val="0"/>
                <w:lang w:val="lv-LV"/>
              </w:rPr>
            </w:pPr>
            <w:r w:rsidRPr="00EA423C">
              <w:rPr>
                <w:b w:val="0"/>
                <w:bCs w:val="0"/>
                <w:lang w:val="lv-LV"/>
              </w:rPr>
              <w:t>1 000 000</w:t>
            </w:r>
          </w:p>
        </w:tc>
        <w:tc>
          <w:tcPr>
            <w:tcW w:w="1197" w:type="dxa"/>
            <w:shd w:val="clear" w:color="auto" w:fill="D9D9D9"/>
            <w:tcMar>
              <w:top w:w="100" w:type="dxa"/>
              <w:left w:w="100" w:type="dxa"/>
              <w:bottom w:w="100" w:type="dxa"/>
              <w:right w:w="100" w:type="dxa"/>
            </w:tcMar>
            <w:vAlign w:val="center"/>
          </w:tcPr>
          <w:p w14:paraId="000002F9" w14:textId="77777777" w:rsidR="007F09CB" w:rsidRPr="00EA423C" w:rsidRDefault="00DB28EC" w:rsidP="00EA423C">
            <w:pPr>
              <w:spacing w:before="0" w:after="0"/>
              <w:jc w:val="center"/>
              <w:rPr>
                <w:b w:val="0"/>
                <w:bCs w:val="0"/>
                <w:lang w:val="lv-LV"/>
              </w:rPr>
            </w:pPr>
            <w:r w:rsidRPr="00EA423C">
              <w:rPr>
                <w:b w:val="0"/>
                <w:bCs w:val="0"/>
                <w:lang w:val="lv-LV"/>
              </w:rPr>
              <w:t>1 000 000</w:t>
            </w:r>
          </w:p>
        </w:tc>
      </w:tr>
    </w:tbl>
    <w:p w14:paraId="000002FA" w14:textId="77777777" w:rsidR="007F09CB" w:rsidRPr="0053072A" w:rsidRDefault="00DB28EC" w:rsidP="00EA423C">
      <w:pPr>
        <w:pStyle w:val="Caption"/>
        <w:framePr w:wrap="around"/>
        <w:rPr>
          <w:lang w:val="lv-LV"/>
        </w:rPr>
      </w:pPr>
      <w:r w:rsidRPr="0053072A">
        <w:rPr>
          <w:lang w:val="lv-LV"/>
        </w:rPr>
        <w:lastRenderedPageBreak/>
        <w:t>Tabula 7. Prognozētā aģentūras bilance, 2023.-2029. gads</w:t>
      </w:r>
    </w:p>
    <w:tbl>
      <w:tblPr>
        <w:tblStyle w:val="aff1"/>
        <w:tblW w:w="14298" w:type="dxa"/>
        <w:tblInd w:w="113" w:type="dxa"/>
        <w:tblBorders>
          <w:top w:val="nil"/>
          <w:left w:val="nil"/>
          <w:bottom w:val="nil"/>
          <w:right w:val="nil"/>
          <w:insideH w:val="nil"/>
          <w:insideV w:val="nil"/>
        </w:tblBorders>
        <w:tblLayout w:type="fixed"/>
        <w:tblLook w:val="0600" w:firstRow="0" w:lastRow="0" w:firstColumn="0" w:lastColumn="0" w:noHBand="1" w:noVBand="1"/>
      </w:tblPr>
      <w:tblGrid>
        <w:gridCol w:w="4668"/>
        <w:gridCol w:w="1375"/>
        <w:gridCol w:w="1376"/>
        <w:gridCol w:w="1376"/>
        <w:gridCol w:w="1375"/>
        <w:gridCol w:w="1376"/>
        <w:gridCol w:w="1376"/>
        <w:gridCol w:w="1376"/>
      </w:tblGrid>
      <w:tr w:rsidR="007F09CB" w:rsidRPr="0053072A" w14:paraId="2F887D57" w14:textId="77777777">
        <w:trPr>
          <w:trHeight w:val="21"/>
        </w:trPr>
        <w:tc>
          <w:tcPr>
            <w:tcW w:w="4669" w:type="dxa"/>
            <w:tcBorders>
              <w:top w:val="single" w:sz="8" w:space="0" w:color="FFFFFF"/>
              <w:left w:val="single" w:sz="8" w:space="0" w:color="FFFFFF"/>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2FB" w14:textId="720F6CC0" w:rsidR="007F09CB" w:rsidRPr="0053072A" w:rsidRDefault="00DB28EC" w:rsidP="00EA423C">
            <w:pPr>
              <w:spacing w:before="0" w:after="0"/>
              <w:jc w:val="left"/>
              <w:rPr>
                <w:color w:val="FFFFFF"/>
                <w:lang w:val="lv-LV"/>
              </w:rPr>
            </w:pPr>
            <w:r w:rsidRPr="0053072A">
              <w:rPr>
                <w:color w:val="FFFFFF"/>
                <w:lang w:val="lv-LV"/>
              </w:rPr>
              <w:t>Pozīcija</w:t>
            </w:r>
          </w:p>
        </w:tc>
        <w:tc>
          <w:tcPr>
            <w:tcW w:w="1375"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2FC" w14:textId="77777777" w:rsidR="007F09CB" w:rsidRPr="0053072A" w:rsidRDefault="00DB28EC" w:rsidP="00EA423C">
            <w:pPr>
              <w:spacing w:before="0" w:after="0"/>
              <w:jc w:val="center"/>
              <w:rPr>
                <w:color w:val="FFFFFF"/>
                <w:lang w:val="lv-LV"/>
              </w:rPr>
            </w:pPr>
            <w:r w:rsidRPr="0053072A">
              <w:rPr>
                <w:color w:val="FFFFFF"/>
                <w:lang w:val="lv-LV"/>
              </w:rPr>
              <w:t>2023</w:t>
            </w:r>
          </w:p>
        </w:tc>
        <w:tc>
          <w:tcPr>
            <w:tcW w:w="1376"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2FD" w14:textId="77777777" w:rsidR="007F09CB" w:rsidRPr="0053072A" w:rsidRDefault="00DB28EC" w:rsidP="00EA423C">
            <w:pPr>
              <w:spacing w:before="0" w:after="0"/>
              <w:jc w:val="center"/>
              <w:rPr>
                <w:color w:val="FFFFFF"/>
                <w:lang w:val="lv-LV"/>
              </w:rPr>
            </w:pPr>
            <w:r w:rsidRPr="0053072A">
              <w:rPr>
                <w:color w:val="FFFFFF"/>
                <w:lang w:val="lv-LV"/>
              </w:rPr>
              <w:t>2024</w:t>
            </w:r>
          </w:p>
        </w:tc>
        <w:tc>
          <w:tcPr>
            <w:tcW w:w="1376"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2FE" w14:textId="77777777" w:rsidR="007F09CB" w:rsidRPr="0053072A" w:rsidRDefault="00DB28EC" w:rsidP="00EA423C">
            <w:pPr>
              <w:spacing w:before="0" w:after="0"/>
              <w:jc w:val="center"/>
              <w:rPr>
                <w:color w:val="FFFFFF"/>
                <w:lang w:val="lv-LV"/>
              </w:rPr>
            </w:pPr>
            <w:r w:rsidRPr="0053072A">
              <w:rPr>
                <w:color w:val="FFFFFF"/>
                <w:lang w:val="lv-LV"/>
              </w:rPr>
              <w:t>2025</w:t>
            </w:r>
          </w:p>
        </w:tc>
        <w:tc>
          <w:tcPr>
            <w:tcW w:w="1375"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2FF" w14:textId="77777777" w:rsidR="007F09CB" w:rsidRPr="0053072A" w:rsidRDefault="00DB28EC" w:rsidP="00EA423C">
            <w:pPr>
              <w:spacing w:before="0" w:after="0"/>
              <w:jc w:val="center"/>
              <w:rPr>
                <w:color w:val="FFFFFF"/>
                <w:lang w:val="lv-LV"/>
              </w:rPr>
            </w:pPr>
            <w:r w:rsidRPr="0053072A">
              <w:rPr>
                <w:color w:val="FFFFFF"/>
                <w:lang w:val="lv-LV"/>
              </w:rPr>
              <w:t>2026</w:t>
            </w:r>
          </w:p>
        </w:tc>
        <w:tc>
          <w:tcPr>
            <w:tcW w:w="1376"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300" w14:textId="77777777" w:rsidR="007F09CB" w:rsidRPr="0053072A" w:rsidRDefault="00DB28EC" w:rsidP="00EA423C">
            <w:pPr>
              <w:spacing w:before="0" w:after="0"/>
              <w:jc w:val="center"/>
              <w:rPr>
                <w:color w:val="FFFFFF"/>
                <w:lang w:val="lv-LV"/>
              </w:rPr>
            </w:pPr>
            <w:r w:rsidRPr="0053072A">
              <w:rPr>
                <w:color w:val="FFFFFF"/>
                <w:lang w:val="lv-LV"/>
              </w:rPr>
              <w:t>2027</w:t>
            </w:r>
          </w:p>
        </w:tc>
        <w:tc>
          <w:tcPr>
            <w:tcW w:w="1376"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301" w14:textId="77777777" w:rsidR="007F09CB" w:rsidRPr="0053072A" w:rsidRDefault="00DB28EC" w:rsidP="00EA423C">
            <w:pPr>
              <w:spacing w:before="0" w:after="0"/>
              <w:jc w:val="center"/>
              <w:rPr>
                <w:color w:val="FFFFFF"/>
                <w:lang w:val="lv-LV"/>
              </w:rPr>
            </w:pPr>
            <w:r w:rsidRPr="0053072A">
              <w:rPr>
                <w:color w:val="FFFFFF"/>
                <w:lang w:val="lv-LV"/>
              </w:rPr>
              <w:t>2028</w:t>
            </w:r>
          </w:p>
        </w:tc>
        <w:tc>
          <w:tcPr>
            <w:tcW w:w="1376" w:type="dxa"/>
            <w:tcBorders>
              <w:top w:val="single" w:sz="8" w:space="0" w:color="FFFFFF"/>
              <w:left w:val="nil"/>
              <w:bottom w:val="single" w:sz="8" w:space="0" w:color="FFFFFF"/>
              <w:right w:val="single" w:sz="8" w:space="0" w:color="FFFFFF"/>
            </w:tcBorders>
            <w:shd w:val="clear" w:color="auto" w:fill="134753"/>
            <w:tcMar>
              <w:top w:w="100" w:type="dxa"/>
              <w:left w:w="100" w:type="dxa"/>
              <w:bottom w:w="100" w:type="dxa"/>
              <w:right w:w="100" w:type="dxa"/>
            </w:tcMar>
            <w:vAlign w:val="center"/>
          </w:tcPr>
          <w:p w14:paraId="00000302" w14:textId="77777777" w:rsidR="007F09CB" w:rsidRPr="0053072A" w:rsidRDefault="00DB28EC" w:rsidP="00EA423C">
            <w:pPr>
              <w:spacing w:before="0" w:after="0"/>
              <w:jc w:val="center"/>
              <w:rPr>
                <w:color w:val="FFFFFF"/>
                <w:lang w:val="lv-LV"/>
              </w:rPr>
            </w:pPr>
            <w:r w:rsidRPr="0053072A">
              <w:rPr>
                <w:color w:val="FFFFFF"/>
                <w:lang w:val="lv-LV"/>
              </w:rPr>
              <w:t>2029</w:t>
            </w:r>
          </w:p>
        </w:tc>
      </w:tr>
      <w:tr w:rsidR="007F09CB" w:rsidRPr="0053072A" w14:paraId="223D4A0D" w14:textId="77777777">
        <w:trPr>
          <w:trHeight w:val="20"/>
        </w:trPr>
        <w:tc>
          <w:tcPr>
            <w:tcW w:w="14299" w:type="dxa"/>
            <w:gridSpan w:val="8"/>
            <w:tcBorders>
              <w:top w:val="nil"/>
              <w:left w:val="single" w:sz="8" w:space="0" w:color="FFFFFF"/>
              <w:bottom w:val="single" w:sz="8" w:space="0" w:color="FFFFFF"/>
              <w:right w:val="single" w:sz="8" w:space="0" w:color="FFFFFF"/>
            </w:tcBorders>
            <w:shd w:val="clear" w:color="auto" w:fill="BFBFBF"/>
            <w:tcMar>
              <w:top w:w="100" w:type="dxa"/>
              <w:left w:w="100" w:type="dxa"/>
              <w:bottom w:w="100" w:type="dxa"/>
              <w:right w:w="100" w:type="dxa"/>
            </w:tcMar>
          </w:tcPr>
          <w:p w14:paraId="00000303" w14:textId="77777777" w:rsidR="007F09CB" w:rsidRPr="00EA423C" w:rsidRDefault="00DB28EC" w:rsidP="00EA423C">
            <w:pPr>
              <w:spacing w:before="0" w:after="0"/>
              <w:jc w:val="left"/>
              <w:rPr>
                <w:b w:val="0"/>
                <w:bCs w:val="0"/>
                <w:lang w:val="lv-LV"/>
              </w:rPr>
            </w:pPr>
            <w:r w:rsidRPr="00EA423C">
              <w:rPr>
                <w:b w:val="0"/>
                <w:bCs w:val="0"/>
                <w:lang w:val="lv-LV"/>
              </w:rPr>
              <w:t>Aktīvi</w:t>
            </w:r>
          </w:p>
        </w:tc>
      </w:tr>
      <w:tr w:rsidR="007F09CB" w:rsidRPr="0053072A" w14:paraId="244E873A"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0B" w14:textId="77777777" w:rsidR="007F09CB" w:rsidRPr="00EA423C" w:rsidRDefault="00DB28EC" w:rsidP="00EA423C">
            <w:pPr>
              <w:spacing w:before="0" w:after="0"/>
              <w:jc w:val="left"/>
              <w:rPr>
                <w:b w:val="0"/>
                <w:bCs w:val="0"/>
                <w:lang w:val="lv-LV"/>
              </w:rPr>
            </w:pPr>
            <w:r w:rsidRPr="00EA423C">
              <w:rPr>
                <w:b w:val="0"/>
                <w:bCs w:val="0"/>
                <w:lang w:val="lv-LV"/>
              </w:rPr>
              <w:t>Nauda kasē un bankas kontā</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0C" w14:textId="77777777" w:rsidR="007F09CB" w:rsidRPr="00EA423C" w:rsidRDefault="00DB28EC" w:rsidP="00EA423C">
            <w:pPr>
              <w:spacing w:before="0" w:after="0"/>
              <w:jc w:val="center"/>
              <w:rPr>
                <w:b w:val="0"/>
                <w:bCs w:val="0"/>
                <w:lang w:val="lv-LV"/>
              </w:rPr>
            </w:pPr>
            <w:r w:rsidRPr="00EA423C">
              <w:rPr>
                <w:b w:val="0"/>
                <w:bCs w:val="0"/>
                <w:lang w:val="lv-LV"/>
              </w:rPr>
              <w:t>10 282 332</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0D"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0E" w14:textId="77777777" w:rsidR="007F09CB" w:rsidRPr="00EA423C" w:rsidRDefault="00DB28EC" w:rsidP="00EA423C">
            <w:pPr>
              <w:spacing w:before="0" w:after="0"/>
              <w:jc w:val="center"/>
              <w:rPr>
                <w:b w:val="0"/>
                <w:bCs w:val="0"/>
                <w:lang w:val="lv-LV"/>
              </w:rPr>
            </w:pPr>
            <w:r w:rsidRPr="00EA423C">
              <w:rPr>
                <w:b w:val="0"/>
                <w:bCs w:val="0"/>
                <w:lang w:val="lv-LV"/>
              </w:rPr>
              <w:t>5 877 218</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0F" w14:textId="77777777" w:rsidR="007F09CB" w:rsidRPr="00EA423C" w:rsidRDefault="00DB28EC" w:rsidP="00EA423C">
            <w:pPr>
              <w:spacing w:before="0" w:after="0"/>
              <w:jc w:val="center"/>
              <w:rPr>
                <w:b w:val="0"/>
                <w:bCs w:val="0"/>
                <w:lang w:val="lv-LV"/>
              </w:rPr>
            </w:pPr>
            <w:r w:rsidRPr="00EA423C">
              <w:rPr>
                <w:b w:val="0"/>
                <w:bCs w:val="0"/>
                <w:lang w:val="lv-LV"/>
              </w:rPr>
              <w:t>7 128 025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0" w14:textId="77777777" w:rsidR="007F09CB" w:rsidRPr="00EA423C" w:rsidRDefault="00DB28EC" w:rsidP="00EA423C">
            <w:pPr>
              <w:spacing w:before="0" w:after="0"/>
              <w:jc w:val="center"/>
              <w:rPr>
                <w:b w:val="0"/>
                <w:bCs w:val="0"/>
                <w:lang w:val="lv-LV"/>
              </w:rPr>
            </w:pPr>
            <w:r w:rsidRPr="00EA423C">
              <w:rPr>
                <w:b w:val="0"/>
                <w:bCs w:val="0"/>
                <w:lang w:val="lv-LV"/>
              </w:rPr>
              <w:t>(3 603 923)</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1" w14:textId="77777777" w:rsidR="007F09CB" w:rsidRPr="00EA423C" w:rsidRDefault="00DB28EC" w:rsidP="00EA423C">
            <w:pPr>
              <w:spacing w:before="0" w:after="0"/>
              <w:jc w:val="center"/>
              <w:rPr>
                <w:b w:val="0"/>
                <w:bCs w:val="0"/>
                <w:lang w:val="lv-LV"/>
              </w:rPr>
            </w:pPr>
            <w:r w:rsidRPr="00EA423C">
              <w:rPr>
                <w:b w:val="0"/>
                <w:bCs w:val="0"/>
                <w:lang w:val="lv-LV"/>
              </w:rPr>
              <w:t>8 351 816</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2" w14:textId="77777777" w:rsidR="007F09CB" w:rsidRPr="00EA423C" w:rsidRDefault="00DB28EC" w:rsidP="00EA423C">
            <w:pPr>
              <w:spacing w:before="0" w:after="0"/>
              <w:jc w:val="center"/>
              <w:rPr>
                <w:b w:val="0"/>
                <w:bCs w:val="0"/>
                <w:lang w:val="lv-LV"/>
              </w:rPr>
            </w:pPr>
            <w:r w:rsidRPr="00EA423C">
              <w:rPr>
                <w:b w:val="0"/>
                <w:bCs w:val="0"/>
                <w:lang w:val="lv-LV"/>
              </w:rPr>
              <w:t>9 421 031</w:t>
            </w:r>
          </w:p>
        </w:tc>
      </w:tr>
      <w:tr w:rsidR="007F09CB" w:rsidRPr="0053072A" w14:paraId="73A67FE1"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13" w14:textId="77777777" w:rsidR="007F09CB" w:rsidRPr="00EA423C" w:rsidRDefault="00DB28EC" w:rsidP="00EA423C">
            <w:pPr>
              <w:spacing w:before="0" w:after="0"/>
              <w:jc w:val="left"/>
              <w:rPr>
                <w:b w:val="0"/>
                <w:bCs w:val="0"/>
                <w:lang w:val="lv-LV"/>
              </w:rPr>
            </w:pPr>
            <w:r w:rsidRPr="00EA423C">
              <w:rPr>
                <w:b w:val="0"/>
                <w:bCs w:val="0"/>
                <w:lang w:val="lv-LV"/>
              </w:rPr>
              <w:t>Krājumi</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4"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5" w14:textId="77777777" w:rsidR="007F09CB" w:rsidRPr="00EA423C" w:rsidRDefault="00DB28EC" w:rsidP="00EA423C">
            <w:pPr>
              <w:spacing w:before="0" w:after="0"/>
              <w:jc w:val="center"/>
              <w:rPr>
                <w:b w:val="0"/>
                <w:bCs w:val="0"/>
                <w:lang w:val="lv-LV"/>
              </w:rPr>
            </w:pPr>
            <w:r w:rsidRPr="00EA423C">
              <w:rPr>
                <w:b w:val="0"/>
                <w:bCs w:val="0"/>
                <w:lang w:val="lv-LV"/>
              </w:rPr>
              <w:t>52 508 144</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6" w14:textId="77777777" w:rsidR="007F09CB" w:rsidRPr="00EA423C" w:rsidRDefault="00DB28EC" w:rsidP="00EA423C">
            <w:pPr>
              <w:spacing w:before="0" w:after="0"/>
              <w:jc w:val="center"/>
              <w:rPr>
                <w:b w:val="0"/>
                <w:bCs w:val="0"/>
                <w:lang w:val="lv-LV"/>
              </w:rPr>
            </w:pPr>
            <w:r w:rsidRPr="00EA423C">
              <w:rPr>
                <w:b w:val="0"/>
                <w:bCs w:val="0"/>
                <w:lang w:val="lv-LV"/>
              </w:rPr>
              <w:t>105 658 016</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7" w14:textId="77777777" w:rsidR="007F09CB" w:rsidRPr="00EA423C" w:rsidRDefault="00DB28EC" w:rsidP="00EA423C">
            <w:pPr>
              <w:spacing w:before="0" w:after="0"/>
              <w:jc w:val="center"/>
              <w:rPr>
                <w:b w:val="0"/>
                <w:bCs w:val="0"/>
                <w:lang w:val="lv-LV"/>
              </w:rPr>
            </w:pPr>
            <w:r w:rsidRPr="00EA423C">
              <w:rPr>
                <w:b w:val="0"/>
                <w:bCs w:val="0"/>
                <w:lang w:val="lv-LV"/>
              </w:rPr>
              <w:t>159 473 528</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8" w14:textId="77777777" w:rsidR="007F09CB" w:rsidRPr="00EA423C" w:rsidRDefault="00DB28EC" w:rsidP="00EA423C">
            <w:pPr>
              <w:spacing w:before="0" w:after="0"/>
              <w:jc w:val="center"/>
              <w:rPr>
                <w:b w:val="0"/>
                <w:bCs w:val="0"/>
                <w:lang w:val="lv-LV"/>
              </w:rPr>
            </w:pPr>
            <w:r w:rsidRPr="00EA423C">
              <w:rPr>
                <w:b w:val="0"/>
                <w:bCs w:val="0"/>
                <w:lang w:val="lv-LV"/>
              </w:rPr>
              <w:t>213 786 202</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9" w14:textId="77777777" w:rsidR="007F09CB" w:rsidRPr="00EA423C" w:rsidRDefault="00DB28EC" w:rsidP="00EA423C">
            <w:pPr>
              <w:spacing w:before="0" w:after="0"/>
              <w:jc w:val="center"/>
              <w:rPr>
                <w:b w:val="0"/>
                <w:bCs w:val="0"/>
                <w:lang w:val="lv-LV"/>
              </w:rPr>
            </w:pPr>
            <w:r w:rsidRPr="00EA423C">
              <w:rPr>
                <w:b w:val="0"/>
                <w:bCs w:val="0"/>
                <w:lang w:val="lv-LV"/>
              </w:rPr>
              <w:t>268 618 619</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1A" w14:textId="77777777" w:rsidR="007F09CB" w:rsidRPr="00EA423C" w:rsidRDefault="00DB28EC" w:rsidP="00EA423C">
            <w:pPr>
              <w:spacing w:before="0" w:after="0"/>
              <w:jc w:val="center"/>
              <w:rPr>
                <w:b w:val="0"/>
                <w:bCs w:val="0"/>
                <w:lang w:val="lv-LV"/>
              </w:rPr>
            </w:pPr>
            <w:r w:rsidRPr="00EA423C">
              <w:rPr>
                <w:b w:val="0"/>
                <w:bCs w:val="0"/>
                <w:lang w:val="lv-LV"/>
              </w:rPr>
              <w:t>268 618 619</w:t>
            </w:r>
          </w:p>
        </w:tc>
      </w:tr>
      <w:tr w:rsidR="007F09CB" w:rsidRPr="0053072A" w14:paraId="5584C356" w14:textId="77777777">
        <w:trPr>
          <w:trHeight w:val="20"/>
        </w:trPr>
        <w:tc>
          <w:tcPr>
            <w:tcW w:w="4669" w:type="dxa"/>
            <w:tcBorders>
              <w:top w:val="nil"/>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0000031B" w14:textId="77777777" w:rsidR="007F09CB" w:rsidRPr="00EA423C" w:rsidRDefault="00DB28EC" w:rsidP="00EA423C">
            <w:pPr>
              <w:spacing w:before="0" w:after="0"/>
              <w:jc w:val="left"/>
              <w:rPr>
                <w:b w:val="0"/>
                <w:bCs w:val="0"/>
                <w:lang w:val="lv-LV"/>
              </w:rPr>
            </w:pPr>
            <w:r w:rsidRPr="00EA423C">
              <w:rPr>
                <w:b w:val="0"/>
                <w:bCs w:val="0"/>
                <w:lang w:val="lv-LV"/>
              </w:rPr>
              <w:t>Aktīvi kopā</w:t>
            </w:r>
          </w:p>
        </w:tc>
        <w:tc>
          <w:tcPr>
            <w:tcW w:w="1375"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1C" w14:textId="77777777" w:rsidR="007F09CB" w:rsidRPr="00EA423C" w:rsidRDefault="00DB28EC" w:rsidP="00EA423C">
            <w:pPr>
              <w:spacing w:before="0" w:after="0"/>
              <w:jc w:val="center"/>
              <w:rPr>
                <w:b w:val="0"/>
                <w:bCs w:val="0"/>
                <w:lang w:val="lv-LV"/>
              </w:rPr>
            </w:pPr>
            <w:r w:rsidRPr="00EA423C">
              <w:rPr>
                <w:b w:val="0"/>
                <w:bCs w:val="0"/>
                <w:lang w:val="lv-LV"/>
              </w:rPr>
              <w:t>10 282 332</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1D" w14:textId="77777777" w:rsidR="007F09CB" w:rsidRPr="00EA423C" w:rsidRDefault="00DB28EC" w:rsidP="00EA423C">
            <w:pPr>
              <w:spacing w:before="0" w:after="0"/>
              <w:jc w:val="center"/>
              <w:rPr>
                <w:b w:val="0"/>
                <w:bCs w:val="0"/>
                <w:lang w:val="lv-LV"/>
              </w:rPr>
            </w:pPr>
            <w:r w:rsidRPr="00EA423C">
              <w:rPr>
                <w:b w:val="0"/>
                <w:bCs w:val="0"/>
                <w:lang w:val="lv-LV"/>
              </w:rPr>
              <w:t>52 510 984</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1E" w14:textId="77777777" w:rsidR="007F09CB" w:rsidRPr="00EA423C" w:rsidRDefault="00DB28EC" w:rsidP="00EA423C">
            <w:pPr>
              <w:spacing w:before="0" w:after="0"/>
              <w:jc w:val="center"/>
              <w:rPr>
                <w:b w:val="0"/>
                <w:bCs w:val="0"/>
                <w:lang w:val="lv-LV"/>
              </w:rPr>
            </w:pPr>
            <w:r w:rsidRPr="00EA423C">
              <w:rPr>
                <w:b w:val="0"/>
                <w:bCs w:val="0"/>
                <w:lang w:val="lv-LV"/>
              </w:rPr>
              <w:t>111 535 234</w:t>
            </w:r>
          </w:p>
        </w:tc>
        <w:tc>
          <w:tcPr>
            <w:tcW w:w="1375"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1F" w14:textId="77777777" w:rsidR="007F09CB" w:rsidRPr="00EA423C" w:rsidRDefault="00DB28EC" w:rsidP="00EA423C">
            <w:pPr>
              <w:spacing w:before="0" w:after="0"/>
              <w:jc w:val="center"/>
              <w:rPr>
                <w:b w:val="0"/>
                <w:bCs w:val="0"/>
                <w:lang w:val="lv-LV"/>
              </w:rPr>
            </w:pPr>
            <w:r w:rsidRPr="00EA423C">
              <w:rPr>
                <w:b w:val="0"/>
                <w:bCs w:val="0"/>
                <w:lang w:val="lv-LV"/>
              </w:rPr>
              <w:t>166 601 553</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20" w14:textId="77777777" w:rsidR="007F09CB" w:rsidRPr="00EA423C" w:rsidRDefault="00DB28EC" w:rsidP="00EA423C">
            <w:pPr>
              <w:spacing w:before="0" w:after="0"/>
              <w:jc w:val="center"/>
              <w:rPr>
                <w:b w:val="0"/>
                <w:bCs w:val="0"/>
                <w:lang w:val="lv-LV"/>
              </w:rPr>
            </w:pPr>
            <w:r w:rsidRPr="00EA423C">
              <w:rPr>
                <w:b w:val="0"/>
                <w:bCs w:val="0"/>
                <w:lang w:val="lv-LV"/>
              </w:rPr>
              <w:t>222 138 018</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21" w14:textId="77777777" w:rsidR="007F09CB" w:rsidRPr="00EA423C" w:rsidRDefault="00DB28EC" w:rsidP="00EA423C">
            <w:pPr>
              <w:spacing w:before="0" w:after="0"/>
              <w:jc w:val="center"/>
              <w:rPr>
                <w:b w:val="0"/>
                <w:bCs w:val="0"/>
                <w:lang w:val="lv-LV"/>
              </w:rPr>
            </w:pPr>
            <w:r w:rsidRPr="00EA423C">
              <w:rPr>
                <w:b w:val="0"/>
                <w:bCs w:val="0"/>
                <w:lang w:val="lv-LV"/>
              </w:rPr>
              <w:t>278 039 649</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22" w14:textId="6ECB05ED" w:rsidR="007F09CB" w:rsidRPr="00EA423C" w:rsidRDefault="00DB28EC" w:rsidP="00EA423C">
            <w:pPr>
              <w:spacing w:before="0" w:after="0"/>
              <w:jc w:val="center"/>
              <w:rPr>
                <w:b w:val="0"/>
                <w:bCs w:val="0"/>
                <w:lang w:val="lv-LV"/>
              </w:rPr>
            </w:pPr>
            <w:r w:rsidRPr="00EA423C">
              <w:rPr>
                <w:b w:val="0"/>
                <w:bCs w:val="0"/>
                <w:lang w:val="lv-LV"/>
              </w:rPr>
              <w:t>279</w:t>
            </w:r>
            <w:r w:rsidR="00EA423C">
              <w:rPr>
                <w:b w:val="0"/>
                <w:bCs w:val="0"/>
                <w:lang w:val="lv-LV"/>
              </w:rPr>
              <w:t xml:space="preserve"> </w:t>
            </w:r>
            <w:r w:rsidRPr="00EA423C">
              <w:rPr>
                <w:b w:val="0"/>
                <w:bCs w:val="0"/>
                <w:lang w:val="lv-LV"/>
              </w:rPr>
              <w:t>026</w:t>
            </w:r>
            <w:r w:rsidR="00EA423C">
              <w:rPr>
                <w:b w:val="0"/>
                <w:bCs w:val="0"/>
                <w:lang w:val="lv-LV"/>
              </w:rPr>
              <w:t xml:space="preserve"> </w:t>
            </w:r>
            <w:r w:rsidRPr="00EA423C">
              <w:rPr>
                <w:b w:val="0"/>
                <w:bCs w:val="0"/>
                <w:lang w:val="lv-LV"/>
              </w:rPr>
              <w:t>780</w:t>
            </w:r>
          </w:p>
        </w:tc>
      </w:tr>
      <w:tr w:rsidR="007F09CB" w:rsidRPr="0053072A" w14:paraId="6146A9F5" w14:textId="77777777">
        <w:trPr>
          <w:trHeight w:val="20"/>
        </w:trPr>
        <w:tc>
          <w:tcPr>
            <w:tcW w:w="14299" w:type="dxa"/>
            <w:gridSpan w:val="8"/>
            <w:tcBorders>
              <w:top w:val="nil"/>
              <w:left w:val="single" w:sz="8" w:space="0" w:color="FFFFFF"/>
              <w:bottom w:val="single" w:sz="8" w:space="0" w:color="FFFFFF"/>
              <w:right w:val="single" w:sz="8" w:space="0" w:color="FFFFFF"/>
            </w:tcBorders>
            <w:shd w:val="clear" w:color="auto" w:fill="BFBFBF"/>
            <w:tcMar>
              <w:top w:w="100" w:type="dxa"/>
              <w:left w:w="100" w:type="dxa"/>
              <w:bottom w:w="100" w:type="dxa"/>
              <w:right w:w="100" w:type="dxa"/>
            </w:tcMar>
          </w:tcPr>
          <w:p w14:paraId="00000323" w14:textId="77777777" w:rsidR="007F09CB" w:rsidRPr="00EA423C" w:rsidRDefault="00DB28EC" w:rsidP="00EA423C">
            <w:pPr>
              <w:spacing w:before="0" w:after="0"/>
              <w:jc w:val="left"/>
              <w:rPr>
                <w:b w:val="0"/>
                <w:bCs w:val="0"/>
                <w:lang w:val="lv-LV"/>
              </w:rPr>
            </w:pPr>
            <w:r w:rsidRPr="00EA423C">
              <w:rPr>
                <w:b w:val="0"/>
                <w:bCs w:val="0"/>
                <w:lang w:val="lv-LV"/>
              </w:rPr>
              <w:t>Pasīvi</w:t>
            </w:r>
          </w:p>
        </w:tc>
      </w:tr>
      <w:tr w:rsidR="007F09CB" w:rsidRPr="0053072A" w14:paraId="6EF31589"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2B" w14:textId="77777777" w:rsidR="007F09CB" w:rsidRPr="00EA423C" w:rsidRDefault="00DB28EC" w:rsidP="00EA423C">
            <w:pPr>
              <w:spacing w:before="0" w:after="0"/>
              <w:jc w:val="left"/>
              <w:rPr>
                <w:b w:val="0"/>
                <w:bCs w:val="0"/>
                <w:lang w:val="lv-LV"/>
              </w:rPr>
            </w:pPr>
            <w:r w:rsidRPr="00EA423C">
              <w:rPr>
                <w:b w:val="0"/>
                <w:bCs w:val="0"/>
                <w:lang w:val="lv-LV"/>
              </w:rPr>
              <w:t>Procentu maksājumi</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2C"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2D" w14:textId="77777777" w:rsidR="007F09CB" w:rsidRPr="00EA423C" w:rsidRDefault="00DB28EC" w:rsidP="00EA423C">
            <w:pPr>
              <w:spacing w:before="0" w:after="0"/>
              <w:jc w:val="center"/>
              <w:rPr>
                <w:b w:val="0"/>
                <w:bCs w:val="0"/>
                <w:lang w:val="lv-LV"/>
              </w:rPr>
            </w:pPr>
            <w:r w:rsidRPr="00EA423C">
              <w:rPr>
                <w:b w:val="0"/>
                <w:bCs w:val="0"/>
                <w:lang w:val="lv-LV"/>
              </w:rPr>
              <w:t>153 581</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2E" w14:textId="77777777" w:rsidR="007F09CB" w:rsidRPr="00EA423C" w:rsidRDefault="00DB28EC" w:rsidP="00EA423C">
            <w:pPr>
              <w:spacing w:before="0" w:after="0"/>
              <w:jc w:val="center"/>
              <w:rPr>
                <w:b w:val="0"/>
                <w:bCs w:val="0"/>
                <w:lang w:val="lv-LV"/>
              </w:rPr>
            </w:pPr>
            <w:r w:rsidRPr="00EA423C">
              <w:rPr>
                <w:b w:val="0"/>
                <w:bCs w:val="0"/>
                <w:lang w:val="lv-LV"/>
              </w:rPr>
              <w:t>430 773</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2F" w14:textId="77777777" w:rsidR="007F09CB" w:rsidRPr="00EA423C" w:rsidRDefault="00DB28EC" w:rsidP="00EA423C">
            <w:pPr>
              <w:spacing w:before="0" w:after="0"/>
              <w:jc w:val="center"/>
              <w:rPr>
                <w:b w:val="0"/>
                <w:bCs w:val="0"/>
                <w:lang w:val="lv-LV"/>
              </w:rPr>
            </w:pPr>
            <w:r w:rsidRPr="00EA423C">
              <w:rPr>
                <w:b w:val="0"/>
                <w:bCs w:val="0"/>
                <w:lang w:val="lv-LV"/>
              </w:rPr>
              <w:t>681 580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0" w14:textId="77777777" w:rsidR="007F09CB" w:rsidRPr="00EA423C" w:rsidRDefault="00DB28EC" w:rsidP="00EA423C">
            <w:pPr>
              <w:spacing w:before="0" w:after="0"/>
              <w:jc w:val="center"/>
              <w:rPr>
                <w:b w:val="0"/>
                <w:bCs w:val="0"/>
                <w:lang w:val="lv-LV"/>
              </w:rPr>
            </w:pPr>
            <w:r w:rsidRPr="00EA423C">
              <w:rPr>
                <w:b w:val="0"/>
                <w:bCs w:val="0"/>
                <w:lang w:val="lv-LV"/>
              </w:rPr>
              <w:t>905 372</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1" w14:textId="77777777" w:rsidR="007F09CB" w:rsidRPr="00EA423C" w:rsidRDefault="00DB28EC" w:rsidP="00EA423C">
            <w:pPr>
              <w:spacing w:before="0" w:after="0"/>
              <w:jc w:val="center"/>
              <w:rPr>
                <w:b w:val="0"/>
                <w:bCs w:val="0"/>
                <w:lang w:val="lv-LV"/>
              </w:rPr>
            </w:pPr>
            <w:r w:rsidRPr="00EA423C">
              <w:rPr>
                <w:b w:val="0"/>
                <w:bCs w:val="0"/>
                <w:lang w:val="lv-LV"/>
              </w:rPr>
              <w:t>974 586</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2" w14:textId="77777777" w:rsidR="007F09CB" w:rsidRPr="00EA423C" w:rsidRDefault="00DB28EC" w:rsidP="00EA423C">
            <w:pPr>
              <w:spacing w:before="0" w:after="0"/>
              <w:jc w:val="center"/>
              <w:rPr>
                <w:b w:val="0"/>
                <w:bCs w:val="0"/>
                <w:lang w:val="lv-LV"/>
              </w:rPr>
            </w:pPr>
            <w:r w:rsidRPr="00EA423C">
              <w:rPr>
                <w:b w:val="0"/>
                <w:bCs w:val="0"/>
                <w:lang w:val="lv-LV"/>
              </w:rPr>
              <w:t>961 717</w:t>
            </w:r>
          </w:p>
        </w:tc>
      </w:tr>
      <w:tr w:rsidR="007F09CB" w:rsidRPr="0053072A" w14:paraId="7E8E1A6F"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33" w14:textId="77777777" w:rsidR="007F09CB" w:rsidRPr="00EA423C" w:rsidRDefault="00DB28EC" w:rsidP="00EA423C">
            <w:pPr>
              <w:spacing w:before="0" w:after="0"/>
              <w:jc w:val="left"/>
              <w:rPr>
                <w:b w:val="0"/>
                <w:bCs w:val="0"/>
                <w:lang w:val="lv-LV"/>
              </w:rPr>
            </w:pPr>
            <w:r w:rsidRPr="00EA423C">
              <w:rPr>
                <w:b w:val="0"/>
                <w:bCs w:val="0"/>
                <w:lang w:val="lv-LV"/>
              </w:rPr>
              <w:t>Īstermiņa saistības</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4"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5"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6" w14:textId="77777777" w:rsidR="007F09CB" w:rsidRPr="00EA423C" w:rsidRDefault="00DB28EC" w:rsidP="00EA423C">
            <w:pPr>
              <w:spacing w:before="0" w:after="0"/>
              <w:jc w:val="center"/>
              <w:rPr>
                <w:b w:val="0"/>
                <w:bCs w:val="0"/>
                <w:lang w:val="lv-LV"/>
              </w:rPr>
            </w:pPr>
            <w:r w:rsidRPr="00EA423C">
              <w:rPr>
                <w:b w:val="0"/>
                <w:bCs w:val="0"/>
                <w:lang w:val="lv-LV"/>
              </w:rPr>
              <w:t>3 251 138</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7" w14:textId="77777777" w:rsidR="007F09CB" w:rsidRPr="00EA423C" w:rsidRDefault="00DB28EC" w:rsidP="00EA423C">
            <w:pPr>
              <w:spacing w:before="0" w:after="0"/>
              <w:jc w:val="center"/>
              <w:rPr>
                <w:b w:val="0"/>
                <w:bCs w:val="0"/>
                <w:lang w:val="lv-LV"/>
              </w:rPr>
            </w:pPr>
            <w:r w:rsidRPr="00EA423C">
              <w:rPr>
                <w:b w:val="0"/>
                <w:bCs w:val="0"/>
                <w:lang w:val="lv-LV"/>
              </w:rPr>
              <w:t>8 704 600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8" w14:textId="77777777" w:rsidR="007F09CB" w:rsidRPr="00EA423C" w:rsidRDefault="00DB28EC" w:rsidP="00EA423C">
            <w:pPr>
              <w:spacing w:before="0" w:after="0"/>
              <w:jc w:val="center"/>
              <w:rPr>
                <w:b w:val="0"/>
                <w:bCs w:val="0"/>
                <w:lang w:val="lv-LV"/>
              </w:rPr>
            </w:pPr>
            <w:r w:rsidRPr="00EA423C">
              <w:rPr>
                <w:b w:val="0"/>
                <w:bCs w:val="0"/>
                <w:lang w:val="lv-LV"/>
              </w:rPr>
              <w:t>14 256 545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9" w14:textId="77777777" w:rsidR="007F09CB" w:rsidRPr="00EA423C" w:rsidRDefault="00DB28EC" w:rsidP="00EA423C">
            <w:pPr>
              <w:spacing w:before="0" w:after="0"/>
              <w:jc w:val="center"/>
              <w:rPr>
                <w:b w:val="0"/>
                <w:bCs w:val="0"/>
                <w:lang w:val="lv-LV"/>
              </w:rPr>
            </w:pPr>
            <w:r w:rsidRPr="00EA423C">
              <w:rPr>
                <w:b w:val="0"/>
                <w:bCs w:val="0"/>
                <w:lang w:val="lv-LV"/>
              </w:rPr>
              <w:t>19 905 876</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A" w14:textId="77777777" w:rsidR="007F09CB" w:rsidRPr="00EA423C" w:rsidRDefault="00DB28EC" w:rsidP="00EA423C">
            <w:pPr>
              <w:spacing w:before="0" w:after="0"/>
              <w:jc w:val="center"/>
              <w:rPr>
                <w:b w:val="0"/>
                <w:bCs w:val="0"/>
                <w:lang w:val="lv-LV"/>
              </w:rPr>
            </w:pPr>
            <w:r w:rsidRPr="00EA423C">
              <w:rPr>
                <w:b w:val="0"/>
                <w:bCs w:val="0"/>
                <w:lang w:val="lv-LV"/>
              </w:rPr>
              <w:t>25 539 686</w:t>
            </w:r>
          </w:p>
        </w:tc>
      </w:tr>
      <w:tr w:rsidR="007F09CB" w:rsidRPr="0053072A" w14:paraId="2C99034B"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3B" w14:textId="77777777" w:rsidR="007F09CB" w:rsidRPr="00EA423C" w:rsidRDefault="00DB28EC" w:rsidP="00EA423C">
            <w:pPr>
              <w:spacing w:before="0" w:after="0"/>
              <w:jc w:val="left"/>
              <w:rPr>
                <w:b w:val="0"/>
                <w:bCs w:val="0"/>
                <w:lang w:val="lv-LV"/>
              </w:rPr>
            </w:pPr>
            <w:r w:rsidRPr="00EA423C">
              <w:rPr>
                <w:b w:val="0"/>
                <w:bCs w:val="0"/>
                <w:lang w:val="lv-LV"/>
              </w:rPr>
              <w:t>Ilgtermiņa saistības</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C"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D" w14:textId="77777777" w:rsidR="007F09CB" w:rsidRPr="00EA423C" w:rsidRDefault="00DB28EC" w:rsidP="00EA423C">
            <w:pPr>
              <w:spacing w:before="0" w:after="0"/>
              <w:jc w:val="center"/>
              <w:rPr>
                <w:b w:val="0"/>
                <w:bCs w:val="0"/>
                <w:lang w:val="lv-LV"/>
              </w:rPr>
            </w:pPr>
            <w:r w:rsidRPr="00EA423C">
              <w:rPr>
                <w:b w:val="0"/>
                <w:bCs w:val="0"/>
                <w:lang w:val="lv-LV"/>
              </w:rPr>
              <w:t>52 508 144</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E" w14:textId="77777777" w:rsidR="007F09CB" w:rsidRPr="00EA423C" w:rsidRDefault="00DB28EC" w:rsidP="00EA423C">
            <w:pPr>
              <w:spacing w:before="0" w:after="0"/>
              <w:jc w:val="center"/>
              <w:rPr>
                <w:b w:val="0"/>
                <w:bCs w:val="0"/>
                <w:lang w:val="lv-LV"/>
              </w:rPr>
            </w:pPr>
            <w:r w:rsidRPr="00EA423C">
              <w:rPr>
                <w:b w:val="0"/>
                <w:bCs w:val="0"/>
                <w:lang w:val="lv-LV"/>
              </w:rPr>
              <w:t>150 768 928</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3F" w14:textId="77777777" w:rsidR="007F09CB" w:rsidRPr="00EA423C" w:rsidRDefault="00DB28EC" w:rsidP="00EA423C">
            <w:pPr>
              <w:spacing w:before="0" w:after="0"/>
              <w:jc w:val="center"/>
              <w:rPr>
                <w:b w:val="0"/>
                <w:bCs w:val="0"/>
                <w:lang w:val="lv-LV"/>
              </w:rPr>
            </w:pPr>
            <w:r w:rsidRPr="00EA423C">
              <w:rPr>
                <w:b w:val="0"/>
                <w:bCs w:val="0"/>
                <w:lang w:val="lv-LV"/>
              </w:rPr>
              <w:t>199 529 657</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0" w14:textId="77777777" w:rsidR="007F09CB" w:rsidRPr="00EA423C" w:rsidRDefault="00DB28EC" w:rsidP="00EA423C">
            <w:pPr>
              <w:spacing w:before="0" w:after="0"/>
              <w:jc w:val="center"/>
              <w:rPr>
                <w:b w:val="0"/>
                <w:bCs w:val="0"/>
                <w:lang w:val="lv-LV"/>
              </w:rPr>
            </w:pPr>
            <w:r w:rsidRPr="00EA423C">
              <w:rPr>
                <w:b w:val="0"/>
                <w:bCs w:val="0"/>
                <w:lang w:val="lv-LV"/>
              </w:rPr>
              <w:t>187 573 918</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1" w14:textId="77777777" w:rsidR="007F09CB" w:rsidRPr="00EA423C" w:rsidRDefault="00DB28EC" w:rsidP="00EA423C">
            <w:pPr>
              <w:spacing w:before="0" w:after="0"/>
              <w:jc w:val="center"/>
              <w:rPr>
                <w:b w:val="0"/>
                <w:bCs w:val="0"/>
                <w:lang w:val="lv-LV"/>
              </w:rPr>
            </w:pPr>
            <w:r w:rsidRPr="00EA423C">
              <w:rPr>
                <w:b w:val="0"/>
                <w:bCs w:val="0"/>
                <w:lang w:val="lv-LV"/>
              </w:rPr>
              <w:t>248 712 743</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2" w14:textId="0CAEE361" w:rsidR="007F09CB" w:rsidRPr="00EA423C" w:rsidRDefault="00DB28EC" w:rsidP="00EA423C">
            <w:pPr>
              <w:spacing w:before="0" w:after="0"/>
              <w:jc w:val="center"/>
              <w:rPr>
                <w:b w:val="0"/>
                <w:bCs w:val="0"/>
                <w:lang w:val="lv-LV"/>
              </w:rPr>
            </w:pPr>
            <w:r w:rsidRPr="00EA423C">
              <w:rPr>
                <w:b w:val="0"/>
                <w:bCs w:val="0"/>
                <w:lang w:val="lv-LV"/>
              </w:rPr>
              <w:t>243</w:t>
            </w:r>
            <w:r w:rsidR="00EA423C">
              <w:rPr>
                <w:b w:val="0"/>
                <w:bCs w:val="0"/>
                <w:lang w:val="lv-LV"/>
              </w:rPr>
              <w:t xml:space="preserve"> </w:t>
            </w:r>
            <w:r w:rsidRPr="00EA423C">
              <w:rPr>
                <w:b w:val="0"/>
                <w:bCs w:val="0"/>
                <w:lang w:val="lv-LV"/>
              </w:rPr>
              <w:t>078</w:t>
            </w:r>
            <w:r w:rsidR="00EA423C">
              <w:rPr>
                <w:b w:val="0"/>
                <w:bCs w:val="0"/>
                <w:lang w:val="lv-LV"/>
              </w:rPr>
              <w:t xml:space="preserve"> </w:t>
            </w:r>
            <w:r w:rsidRPr="00EA423C">
              <w:rPr>
                <w:b w:val="0"/>
                <w:bCs w:val="0"/>
                <w:lang w:val="lv-LV"/>
              </w:rPr>
              <w:t>932</w:t>
            </w:r>
          </w:p>
        </w:tc>
      </w:tr>
      <w:tr w:rsidR="007F09CB" w:rsidRPr="0053072A" w14:paraId="05202E8A"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43" w14:textId="77777777" w:rsidR="007F09CB" w:rsidRPr="00EA423C" w:rsidRDefault="00DB28EC" w:rsidP="00EA423C">
            <w:pPr>
              <w:spacing w:before="0" w:after="0"/>
              <w:jc w:val="left"/>
              <w:rPr>
                <w:b w:val="0"/>
                <w:bCs w:val="0"/>
                <w:lang w:val="lv-LV"/>
              </w:rPr>
            </w:pPr>
            <w:r w:rsidRPr="00EA423C">
              <w:rPr>
                <w:b w:val="0"/>
                <w:bCs w:val="0"/>
                <w:lang w:val="lv-LV"/>
              </w:rPr>
              <w:t>Kopā saistības</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4" w14:textId="77777777" w:rsidR="007F09CB" w:rsidRPr="00EA423C" w:rsidRDefault="00DB28EC" w:rsidP="00EA423C">
            <w:pPr>
              <w:spacing w:before="0" w:after="0"/>
              <w:jc w:val="center"/>
              <w:rPr>
                <w:b w:val="0"/>
                <w:bCs w:val="0"/>
                <w:lang w:val="lv-LV"/>
              </w:rPr>
            </w:pPr>
            <w:r w:rsidRPr="00EA423C">
              <w:rPr>
                <w:b w:val="0"/>
                <w:bCs w:val="0"/>
                <w:lang w:val="lv-LV"/>
              </w:rPr>
              <w:t>-</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5" w14:textId="77777777" w:rsidR="007F09CB" w:rsidRPr="00EA423C" w:rsidRDefault="00DB28EC" w:rsidP="00EA423C">
            <w:pPr>
              <w:spacing w:before="0" w:after="0"/>
              <w:jc w:val="center"/>
              <w:rPr>
                <w:b w:val="0"/>
                <w:bCs w:val="0"/>
                <w:lang w:val="lv-LV"/>
              </w:rPr>
            </w:pPr>
            <w:r w:rsidRPr="00EA423C">
              <w:rPr>
                <w:b w:val="0"/>
                <w:bCs w:val="0"/>
                <w:lang w:val="lv-LV"/>
              </w:rPr>
              <w:t>52 661 725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6" w14:textId="77777777" w:rsidR="007F09CB" w:rsidRPr="00EA423C" w:rsidRDefault="00DB28EC" w:rsidP="00EA423C">
            <w:pPr>
              <w:spacing w:before="0" w:after="0"/>
              <w:jc w:val="center"/>
              <w:rPr>
                <w:b w:val="0"/>
                <w:bCs w:val="0"/>
                <w:lang w:val="lv-LV"/>
              </w:rPr>
            </w:pPr>
            <w:r w:rsidRPr="00EA423C">
              <w:rPr>
                <w:b w:val="0"/>
                <w:bCs w:val="0"/>
                <w:lang w:val="lv-LV"/>
              </w:rPr>
              <w:t>106 088 789</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7" w14:textId="77777777" w:rsidR="007F09CB" w:rsidRPr="00EA423C" w:rsidRDefault="00DB28EC" w:rsidP="00EA423C">
            <w:pPr>
              <w:spacing w:before="0" w:after="0"/>
              <w:jc w:val="center"/>
              <w:rPr>
                <w:b w:val="0"/>
                <w:bCs w:val="0"/>
                <w:lang w:val="lv-LV"/>
              </w:rPr>
            </w:pPr>
            <w:r w:rsidRPr="00EA423C">
              <w:rPr>
                <w:b w:val="0"/>
                <w:bCs w:val="0"/>
                <w:lang w:val="lv-LV"/>
              </w:rPr>
              <w:t>160 155 108</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8" w14:textId="77777777" w:rsidR="007F09CB" w:rsidRPr="00EA423C" w:rsidRDefault="00DB28EC" w:rsidP="00EA423C">
            <w:pPr>
              <w:spacing w:before="0" w:after="0"/>
              <w:jc w:val="center"/>
              <w:rPr>
                <w:b w:val="0"/>
                <w:bCs w:val="0"/>
                <w:lang w:val="lv-LV"/>
              </w:rPr>
            </w:pPr>
            <w:r w:rsidRPr="00EA423C">
              <w:rPr>
                <w:b w:val="0"/>
                <w:bCs w:val="0"/>
                <w:lang w:val="lv-LV"/>
              </w:rPr>
              <w:t>214 691 573</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9" w14:textId="77777777" w:rsidR="007F09CB" w:rsidRPr="00EA423C" w:rsidRDefault="00DB28EC" w:rsidP="00EA423C">
            <w:pPr>
              <w:spacing w:before="0" w:after="0"/>
              <w:jc w:val="center"/>
              <w:rPr>
                <w:b w:val="0"/>
                <w:bCs w:val="0"/>
                <w:lang w:val="lv-LV"/>
              </w:rPr>
            </w:pPr>
            <w:r w:rsidRPr="00EA423C">
              <w:rPr>
                <w:b w:val="0"/>
                <w:bCs w:val="0"/>
                <w:lang w:val="lv-LV"/>
              </w:rPr>
              <w:t>269 593 204</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A" w14:textId="5D11F2AA" w:rsidR="007F09CB" w:rsidRPr="00EA423C" w:rsidRDefault="00DB28EC" w:rsidP="00EA423C">
            <w:pPr>
              <w:spacing w:before="0" w:after="0"/>
              <w:jc w:val="center"/>
              <w:rPr>
                <w:b w:val="0"/>
                <w:bCs w:val="0"/>
                <w:lang w:val="lv-LV"/>
              </w:rPr>
            </w:pPr>
            <w:r w:rsidRPr="00EA423C">
              <w:rPr>
                <w:b w:val="0"/>
                <w:bCs w:val="0"/>
                <w:lang w:val="lv-LV"/>
              </w:rPr>
              <w:t>269</w:t>
            </w:r>
            <w:r w:rsidR="00EA423C">
              <w:rPr>
                <w:b w:val="0"/>
                <w:bCs w:val="0"/>
                <w:lang w:val="lv-LV"/>
              </w:rPr>
              <w:t xml:space="preserve"> </w:t>
            </w:r>
            <w:r w:rsidRPr="00EA423C">
              <w:rPr>
                <w:b w:val="0"/>
                <w:bCs w:val="0"/>
                <w:lang w:val="lv-LV"/>
              </w:rPr>
              <w:t>580</w:t>
            </w:r>
            <w:r w:rsidR="00EA423C">
              <w:rPr>
                <w:b w:val="0"/>
                <w:bCs w:val="0"/>
                <w:lang w:val="lv-LV"/>
              </w:rPr>
              <w:t xml:space="preserve"> </w:t>
            </w:r>
            <w:r w:rsidRPr="00EA423C">
              <w:rPr>
                <w:b w:val="0"/>
                <w:bCs w:val="0"/>
                <w:lang w:val="lv-LV"/>
              </w:rPr>
              <w:t>335</w:t>
            </w:r>
          </w:p>
        </w:tc>
      </w:tr>
      <w:tr w:rsidR="007F09CB" w:rsidRPr="0053072A" w14:paraId="3EA612E3"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4B" w14:textId="77777777" w:rsidR="007F09CB" w:rsidRPr="00EA423C" w:rsidRDefault="00DB28EC" w:rsidP="00EA423C">
            <w:pPr>
              <w:spacing w:before="0" w:after="0"/>
              <w:jc w:val="left"/>
              <w:rPr>
                <w:b w:val="0"/>
                <w:bCs w:val="0"/>
                <w:lang w:val="lv-LV"/>
              </w:rPr>
            </w:pPr>
            <w:r w:rsidRPr="00EA423C">
              <w:rPr>
                <w:b w:val="0"/>
                <w:bCs w:val="0"/>
                <w:lang w:val="lv-LV"/>
              </w:rPr>
              <w:t>Pašu kapitāls</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C"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D"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E" w14:textId="77777777" w:rsidR="007F09CB" w:rsidRPr="00EA423C" w:rsidRDefault="007F09CB" w:rsidP="00EA423C">
            <w:pPr>
              <w:spacing w:before="0" w:after="0"/>
              <w:jc w:val="center"/>
              <w:rPr>
                <w:b w:val="0"/>
                <w:bCs w:val="0"/>
                <w:lang w:val="lv-LV"/>
              </w:rPr>
            </w:pP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4F"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0"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1" w14:textId="77777777" w:rsidR="007F09CB" w:rsidRPr="00EA423C" w:rsidRDefault="007F09CB" w:rsidP="00EA423C">
            <w:pPr>
              <w:spacing w:before="0" w:after="0"/>
              <w:jc w:val="center"/>
              <w:rPr>
                <w:b w:val="0"/>
                <w:bCs w:val="0"/>
                <w:lang w:val="lv-LV"/>
              </w:rPr>
            </w:pP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2" w14:textId="77777777" w:rsidR="007F09CB" w:rsidRPr="00EA423C" w:rsidRDefault="007F09CB" w:rsidP="00EA423C">
            <w:pPr>
              <w:spacing w:before="0" w:after="0"/>
              <w:jc w:val="center"/>
              <w:rPr>
                <w:b w:val="0"/>
                <w:bCs w:val="0"/>
                <w:lang w:val="lv-LV"/>
              </w:rPr>
            </w:pPr>
          </w:p>
        </w:tc>
      </w:tr>
      <w:tr w:rsidR="007F09CB" w:rsidRPr="0053072A" w14:paraId="042F757F"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53" w14:textId="77777777" w:rsidR="007F09CB" w:rsidRPr="00EA423C" w:rsidRDefault="00DB28EC" w:rsidP="00EA423C">
            <w:pPr>
              <w:spacing w:before="0" w:after="0"/>
              <w:jc w:val="left"/>
              <w:rPr>
                <w:b w:val="0"/>
                <w:bCs w:val="0"/>
                <w:lang w:val="lv-LV"/>
              </w:rPr>
            </w:pPr>
            <w:r w:rsidRPr="00EA423C">
              <w:rPr>
                <w:b w:val="0"/>
                <w:bCs w:val="0"/>
                <w:lang w:val="lv-LV"/>
              </w:rPr>
              <w:t>Pamatkapitāls</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4"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5"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6"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7"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8"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9" w14:textId="77777777" w:rsidR="007F09CB" w:rsidRPr="00EA423C" w:rsidRDefault="00DB28EC" w:rsidP="00EA423C">
            <w:pPr>
              <w:spacing w:before="0" w:after="0"/>
              <w:jc w:val="center"/>
              <w:rPr>
                <w:b w:val="0"/>
                <w:bCs w:val="0"/>
                <w:lang w:val="lv-LV"/>
              </w:rPr>
            </w:pPr>
            <w:r w:rsidRPr="00EA423C">
              <w:rPr>
                <w:b w:val="0"/>
                <w:bCs w:val="0"/>
                <w:lang w:val="lv-LV"/>
              </w:rPr>
              <w:t>2 840</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A" w14:textId="77777777" w:rsidR="007F09CB" w:rsidRPr="00EA423C" w:rsidRDefault="00DB28EC" w:rsidP="00EA423C">
            <w:pPr>
              <w:spacing w:before="0" w:after="0"/>
              <w:jc w:val="center"/>
              <w:rPr>
                <w:b w:val="0"/>
                <w:bCs w:val="0"/>
                <w:lang w:val="lv-LV"/>
              </w:rPr>
            </w:pPr>
            <w:r w:rsidRPr="00EA423C">
              <w:rPr>
                <w:b w:val="0"/>
                <w:bCs w:val="0"/>
                <w:lang w:val="lv-LV"/>
              </w:rPr>
              <w:t>2 840</w:t>
            </w:r>
          </w:p>
        </w:tc>
      </w:tr>
      <w:tr w:rsidR="007F09CB" w:rsidRPr="0053072A" w14:paraId="2BBB333F"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5B" w14:textId="77777777" w:rsidR="007F09CB" w:rsidRPr="00EA423C" w:rsidRDefault="00DB28EC" w:rsidP="00EA423C">
            <w:pPr>
              <w:spacing w:before="0" w:after="0"/>
              <w:jc w:val="left"/>
              <w:rPr>
                <w:b w:val="0"/>
                <w:bCs w:val="0"/>
                <w:lang w:val="lv-LV"/>
              </w:rPr>
            </w:pPr>
            <w:r w:rsidRPr="00EA423C">
              <w:rPr>
                <w:b w:val="0"/>
                <w:bCs w:val="0"/>
                <w:lang w:val="lv-LV"/>
              </w:rPr>
              <w:t>Uzkrātie ieņēmumi/zaudējumi</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C" w14:textId="77777777" w:rsidR="007F09CB" w:rsidRPr="00EA423C" w:rsidRDefault="00DB28EC" w:rsidP="00EA423C">
            <w:pPr>
              <w:spacing w:before="0" w:after="0"/>
              <w:jc w:val="center"/>
              <w:rPr>
                <w:b w:val="0"/>
                <w:bCs w:val="0"/>
                <w:lang w:val="lv-LV"/>
              </w:rPr>
            </w:pPr>
            <w:r w:rsidRPr="00EA423C">
              <w:rPr>
                <w:b w:val="0"/>
                <w:bCs w:val="0"/>
                <w:lang w:val="lv-LV"/>
              </w:rPr>
              <w:t>10 279 492</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D" w14:textId="77777777" w:rsidR="007F09CB" w:rsidRPr="00EA423C" w:rsidRDefault="00DB28EC" w:rsidP="00EA423C">
            <w:pPr>
              <w:spacing w:before="0" w:after="0"/>
              <w:jc w:val="center"/>
              <w:rPr>
                <w:b w:val="0"/>
                <w:bCs w:val="0"/>
                <w:lang w:val="lv-LV"/>
              </w:rPr>
            </w:pPr>
            <w:r w:rsidRPr="00EA423C">
              <w:rPr>
                <w:b w:val="0"/>
                <w:bCs w:val="0"/>
                <w:lang w:val="lv-LV"/>
              </w:rPr>
              <w:t>(153 581)</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E" w14:textId="77777777" w:rsidR="007F09CB" w:rsidRPr="00EA423C" w:rsidRDefault="00DB28EC" w:rsidP="00EA423C">
            <w:pPr>
              <w:spacing w:before="0" w:after="0"/>
              <w:jc w:val="center"/>
              <w:rPr>
                <w:b w:val="0"/>
                <w:bCs w:val="0"/>
                <w:lang w:val="lv-LV"/>
              </w:rPr>
            </w:pPr>
            <w:r w:rsidRPr="00EA423C">
              <w:rPr>
                <w:b w:val="0"/>
                <w:bCs w:val="0"/>
                <w:lang w:val="lv-LV"/>
              </w:rPr>
              <w:t>5 443 605</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5F" w14:textId="77777777" w:rsidR="007F09CB" w:rsidRPr="00EA423C" w:rsidRDefault="00DB28EC" w:rsidP="00EA423C">
            <w:pPr>
              <w:spacing w:before="0" w:after="0"/>
              <w:jc w:val="center"/>
              <w:rPr>
                <w:b w:val="0"/>
                <w:bCs w:val="0"/>
                <w:lang w:val="lv-LV"/>
              </w:rPr>
            </w:pPr>
            <w:r w:rsidRPr="00EA423C">
              <w:rPr>
                <w:b w:val="0"/>
                <w:bCs w:val="0"/>
                <w:lang w:val="lv-LV"/>
              </w:rPr>
              <w:t>6 443 605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0" w14:textId="77777777" w:rsidR="007F09CB" w:rsidRPr="00EA423C" w:rsidRDefault="00DB28EC" w:rsidP="00EA423C">
            <w:pPr>
              <w:spacing w:before="0" w:after="0"/>
              <w:jc w:val="center"/>
              <w:rPr>
                <w:b w:val="0"/>
                <w:bCs w:val="0"/>
                <w:lang w:val="lv-LV"/>
              </w:rPr>
            </w:pPr>
            <w:r w:rsidRPr="00EA423C">
              <w:rPr>
                <w:b w:val="0"/>
                <w:bCs w:val="0"/>
                <w:lang w:val="lv-LV"/>
              </w:rPr>
              <w:t>7 443 605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1" w14:textId="77777777" w:rsidR="007F09CB" w:rsidRPr="00EA423C" w:rsidRDefault="00DB28EC" w:rsidP="00EA423C">
            <w:pPr>
              <w:spacing w:before="0" w:after="0"/>
              <w:jc w:val="center"/>
              <w:rPr>
                <w:b w:val="0"/>
                <w:bCs w:val="0"/>
                <w:lang w:val="lv-LV"/>
              </w:rPr>
            </w:pPr>
            <w:r w:rsidRPr="00EA423C">
              <w:rPr>
                <w:b w:val="0"/>
                <w:bCs w:val="0"/>
                <w:lang w:val="lv-LV"/>
              </w:rPr>
              <w:t>8 443 605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2" w14:textId="77777777" w:rsidR="007F09CB" w:rsidRPr="00EA423C" w:rsidRDefault="00DB28EC" w:rsidP="00EA423C">
            <w:pPr>
              <w:spacing w:before="0" w:after="0"/>
              <w:jc w:val="center"/>
              <w:rPr>
                <w:b w:val="0"/>
                <w:bCs w:val="0"/>
                <w:lang w:val="lv-LV"/>
              </w:rPr>
            </w:pPr>
            <w:r w:rsidRPr="00EA423C">
              <w:rPr>
                <w:b w:val="0"/>
                <w:bCs w:val="0"/>
                <w:lang w:val="lv-LV"/>
              </w:rPr>
              <w:t>9 443 605</w:t>
            </w:r>
          </w:p>
        </w:tc>
      </w:tr>
      <w:tr w:rsidR="007F09CB" w:rsidRPr="0053072A" w14:paraId="47A9D4DF" w14:textId="77777777">
        <w:trPr>
          <w:trHeight w:val="20"/>
        </w:trPr>
        <w:tc>
          <w:tcPr>
            <w:tcW w:w="4669" w:type="dxa"/>
            <w:tcBorders>
              <w:top w:val="nil"/>
              <w:left w:val="single" w:sz="8" w:space="0" w:color="FFFFFF"/>
              <w:bottom w:val="single" w:sz="8" w:space="0" w:color="FFFFFF"/>
              <w:right w:val="single" w:sz="8" w:space="0" w:color="FFFFFF"/>
            </w:tcBorders>
            <w:shd w:val="clear" w:color="auto" w:fill="F2F2F2"/>
            <w:tcMar>
              <w:top w:w="100" w:type="dxa"/>
              <w:left w:w="100" w:type="dxa"/>
              <w:bottom w:w="100" w:type="dxa"/>
              <w:right w:w="100" w:type="dxa"/>
            </w:tcMar>
          </w:tcPr>
          <w:p w14:paraId="00000363" w14:textId="77777777" w:rsidR="007F09CB" w:rsidRPr="00EA423C" w:rsidRDefault="00DB28EC" w:rsidP="00EA423C">
            <w:pPr>
              <w:spacing w:before="0" w:after="0"/>
              <w:jc w:val="left"/>
              <w:rPr>
                <w:b w:val="0"/>
                <w:bCs w:val="0"/>
                <w:lang w:val="lv-LV"/>
              </w:rPr>
            </w:pPr>
            <w:r w:rsidRPr="00EA423C">
              <w:rPr>
                <w:b w:val="0"/>
                <w:bCs w:val="0"/>
                <w:lang w:val="lv-LV"/>
              </w:rPr>
              <w:t>Pašu kapitāls kopā</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4" w14:textId="77777777" w:rsidR="007F09CB" w:rsidRPr="00EA423C" w:rsidRDefault="00DB28EC" w:rsidP="00EA423C">
            <w:pPr>
              <w:spacing w:before="0" w:after="0"/>
              <w:jc w:val="center"/>
              <w:rPr>
                <w:b w:val="0"/>
                <w:bCs w:val="0"/>
                <w:lang w:val="lv-LV"/>
              </w:rPr>
            </w:pPr>
            <w:r w:rsidRPr="00EA423C">
              <w:rPr>
                <w:b w:val="0"/>
                <w:bCs w:val="0"/>
                <w:lang w:val="lv-LV"/>
              </w:rPr>
              <w:t>10 282 332</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5" w14:textId="77777777" w:rsidR="007F09CB" w:rsidRPr="00EA423C" w:rsidRDefault="00DB28EC" w:rsidP="00EA423C">
            <w:pPr>
              <w:spacing w:before="0" w:after="0"/>
              <w:jc w:val="center"/>
              <w:rPr>
                <w:b w:val="0"/>
                <w:bCs w:val="0"/>
                <w:lang w:val="lv-LV"/>
              </w:rPr>
            </w:pPr>
            <w:r w:rsidRPr="00EA423C">
              <w:rPr>
                <w:b w:val="0"/>
                <w:bCs w:val="0"/>
                <w:lang w:val="lv-LV"/>
              </w:rPr>
              <w:t>(150 741)</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6" w14:textId="77777777" w:rsidR="007F09CB" w:rsidRPr="00EA423C" w:rsidRDefault="00DB28EC" w:rsidP="00EA423C">
            <w:pPr>
              <w:spacing w:before="0" w:after="0"/>
              <w:jc w:val="center"/>
              <w:rPr>
                <w:b w:val="0"/>
                <w:bCs w:val="0"/>
                <w:lang w:val="lv-LV"/>
              </w:rPr>
            </w:pPr>
            <w:r w:rsidRPr="00EA423C">
              <w:rPr>
                <w:b w:val="0"/>
                <w:bCs w:val="0"/>
                <w:lang w:val="lv-LV"/>
              </w:rPr>
              <w:t>5 446 445</w:t>
            </w:r>
          </w:p>
        </w:tc>
        <w:tc>
          <w:tcPr>
            <w:tcW w:w="1375"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7" w14:textId="77777777" w:rsidR="007F09CB" w:rsidRPr="00EA423C" w:rsidRDefault="00DB28EC" w:rsidP="00EA423C">
            <w:pPr>
              <w:spacing w:before="0" w:after="0"/>
              <w:jc w:val="center"/>
              <w:rPr>
                <w:b w:val="0"/>
                <w:bCs w:val="0"/>
                <w:lang w:val="lv-LV"/>
              </w:rPr>
            </w:pPr>
            <w:r w:rsidRPr="00EA423C">
              <w:rPr>
                <w:b w:val="0"/>
                <w:bCs w:val="0"/>
                <w:lang w:val="lv-LV"/>
              </w:rPr>
              <w:t>6 446 445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8" w14:textId="77777777" w:rsidR="007F09CB" w:rsidRPr="00EA423C" w:rsidRDefault="00DB28EC" w:rsidP="00EA423C">
            <w:pPr>
              <w:spacing w:before="0" w:after="0"/>
              <w:jc w:val="center"/>
              <w:rPr>
                <w:b w:val="0"/>
                <w:bCs w:val="0"/>
                <w:lang w:val="lv-LV"/>
              </w:rPr>
            </w:pPr>
            <w:r w:rsidRPr="00EA423C">
              <w:rPr>
                <w:b w:val="0"/>
                <w:bCs w:val="0"/>
                <w:lang w:val="lv-LV"/>
              </w:rPr>
              <w:t>7 446 445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9" w14:textId="77777777" w:rsidR="007F09CB" w:rsidRPr="00EA423C" w:rsidRDefault="00DB28EC" w:rsidP="00EA423C">
            <w:pPr>
              <w:spacing w:before="0" w:after="0"/>
              <w:jc w:val="center"/>
              <w:rPr>
                <w:b w:val="0"/>
                <w:bCs w:val="0"/>
                <w:lang w:val="lv-LV"/>
              </w:rPr>
            </w:pPr>
            <w:r w:rsidRPr="00EA423C">
              <w:rPr>
                <w:b w:val="0"/>
                <w:bCs w:val="0"/>
                <w:lang w:val="lv-LV"/>
              </w:rPr>
              <w:t>8 446 445</w:t>
            </w:r>
          </w:p>
        </w:tc>
        <w:tc>
          <w:tcPr>
            <w:tcW w:w="1376" w:type="dxa"/>
            <w:tcBorders>
              <w:top w:val="nil"/>
              <w:left w:val="nil"/>
              <w:bottom w:val="single" w:sz="8" w:space="0" w:color="FFFFFF"/>
              <w:right w:val="single" w:sz="8" w:space="0" w:color="FFFFFF"/>
            </w:tcBorders>
            <w:shd w:val="clear" w:color="auto" w:fill="F2F2F2"/>
            <w:tcMar>
              <w:top w:w="100" w:type="dxa"/>
              <w:left w:w="100" w:type="dxa"/>
              <w:bottom w:w="100" w:type="dxa"/>
              <w:right w:w="100" w:type="dxa"/>
            </w:tcMar>
          </w:tcPr>
          <w:p w14:paraId="0000036A" w14:textId="77777777" w:rsidR="007F09CB" w:rsidRPr="00EA423C" w:rsidRDefault="00DB28EC" w:rsidP="00EA423C">
            <w:pPr>
              <w:spacing w:before="0" w:after="0"/>
              <w:jc w:val="center"/>
              <w:rPr>
                <w:b w:val="0"/>
                <w:bCs w:val="0"/>
                <w:lang w:val="lv-LV"/>
              </w:rPr>
            </w:pPr>
            <w:r w:rsidRPr="00EA423C">
              <w:rPr>
                <w:b w:val="0"/>
                <w:bCs w:val="0"/>
                <w:lang w:val="lv-LV"/>
              </w:rPr>
              <w:t>9 446 445</w:t>
            </w:r>
          </w:p>
        </w:tc>
      </w:tr>
      <w:tr w:rsidR="007F09CB" w:rsidRPr="0053072A" w14:paraId="595858CF" w14:textId="77777777">
        <w:trPr>
          <w:trHeight w:val="20"/>
        </w:trPr>
        <w:tc>
          <w:tcPr>
            <w:tcW w:w="4669" w:type="dxa"/>
            <w:tcBorders>
              <w:top w:val="nil"/>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0000036B" w14:textId="77777777" w:rsidR="007F09CB" w:rsidRPr="00EA423C" w:rsidRDefault="00DB28EC" w:rsidP="00EA423C">
            <w:pPr>
              <w:spacing w:before="0" w:after="0"/>
              <w:jc w:val="left"/>
              <w:rPr>
                <w:b w:val="0"/>
                <w:bCs w:val="0"/>
                <w:lang w:val="lv-LV"/>
              </w:rPr>
            </w:pPr>
            <w:r w:rsidRPr="00EA423C">
              <w:rPr>
                <w:b w:val="0"/>
                <w:bCs w:val="0"/>
                <w:lang w:val="lv-LV"/>
              </w:rPr>
              <w:t>Pasīvi kopā</w:t>
            </w:r>
          </w:p>
        </w:tc>
        <w:tc>
          <w:tcPr>
            <w:tcW w:w="1375"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6C" w14:textId="77777777" w:rsidR="007F09CB" w:rsidRPr="00EA423C" w:rsidRDefault="00DB28EC" w:rsidP="00EA423C">
            <w:pPr>
              <w:spacing w:before="0" w:after="0"/>
              <w:jc w:val="center"/>
              <w:rPr>
                <w:b w:val="0"/>
                <w:bCs w:val="0"/>
                <w:lang w:val="lv-LV"/>
              </w:rPr>
            </w:pPr>
            <w:r w:rsidRPr="00EA423C">
              <w:rPr>
                <w:b w:val="0"/>
                <w:bCs w:val="0"/>
                <w:lang w:val="lv-LV"/>
              </w:rPr>
              <w:t>10 282 332</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6D" w14:textId="77777777" w:rsidR="007F09CB" w:rsidRPr="00EA423C" w:rsidRDefault="00DB28EC" w:rsidP="00EA423C">
            <w:pPr>
              <w:spacing w:before="0" w:after="0"/>
              <w:jc w:val="center"/>
              <w:rPr>
                <w:b w:val="0"/>
                <w:bCs w:val="0"/>
                <w:lang w:val="lv-LV"/>
              </w:rPr>
            </w:pPr>
            <w:r w:rsidRPr="00EA423C">
              <w:rPr>
                <w:b w:val="0"/>
                <w:bCs w:val="0"/>
                <w:lang w:val="lv-LV"/>
              </w:rPr>
              <w:t>52 510 984</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6E" w14:textId="77777777" w:rsidR="007F09CB" w:rsidRPr="00EA423C" w:rsidRDefault="00DB28EC" w:rsidP="00EA423C">
            <w:pPr>
              <w:spacing w:before="0" w:after="0"/>
              <w:jc w:val="center"/>
              <w:rPr>
                <w:b w:val="0"/>
                <w:bCs w:val="0"/>
                <w:lang w:val="lv-LV"/>
              </w:rPr>
            </w:pPr>
            <w:r w:rsidRPr="00EA423C">
              <w:rPr>
                <w:b w:val="0"/>
                <w:bCs w:val="0"/>
                <w:lang w:val="lv-LV"/>
              </w:rPr>
              <w:t>111 535 234</w:t>
            </w:r>
          </w:p>
        </w:tc>
        <w:tc>
          <w:tcPr>
            <w:tcW w:w="1375"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6F" w14:textId="77777777" w:rsidR="007F09CB" w:rsidRPr="00EA423C" w:rsidRDefault="00DB28EC" w:rsidP="00EA423C">
            <w:pPr>
              <w:spacing w:before="0" w:after="0"/>
              <w:jc w:val="center"/>
              <w:rPr>
                <w:b w:val="0"/>
                <w:bCs w:val="0"/>
                <w:lang w:val="lv-LV"/>
              </w:rPr>
            </w:pPr>
            <w:r w:rsidRPr="00EA423C">
              <w:rPr>
                <w:b w:val="0"/>
                <w:bCs w:val="0"/>
                <w:lang w:val="lv-LV"/>
              </w:rPr>
              <w:t>166 601 553</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70" w14:textId="77777777" w:rsidR="007F09CB" w:rsidRPr="00EA423C" w:rsidRDefault="00DB28EC" w:rsidP="00EA423C">
            <w:pPr>
              <w:spacing w:before="0" w:after="0"/>
              <w:jc w:val="center"/>
              <w:rPr>
                <w:b w:val="0"/>
                <w:bCs w:val="0"/>
                <w:lang w:val="lv-LV"/>
              </w:rPr>
            </w:pPr>
            <w:r w:rsidRPr="00EA423C">
              <w:rPr>
                <w:b w:val="0"/>
                <w:bCs w:val="0"/>
                <w:lang w:val="lv-LV"/>
              </w:rPr>
              <w:t>222 138 018</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71" w14:textId="77777777" w:rsidR="007F09CB" w:rsidRPr="00EA423C" w:rsidRDefault="00DB28EC" w:rsidP="00EA423C">
            <w:pPr>
              <w:spacing w:before="0" w:after="0"/>
              <w:jc w:val="center"/>
              <w:rPr>
                <w:b w:val="0"/>
                <w:bCs w:val="0"/>
                <w:lang w:val="lv-LV"/>
              </w:rPr>
            </w:pPr>
            <w:r w:rsidRPr="00EA423C">
              <w:rPr>
                <w:b w:val="0"/>
                <w:bCs w:val="0"/>
                <w:lang w:val="lv-LV"/>
              </w:rPr>
              <w:t>278 039 649</w:t>
            </w:r>
          </w:p>
        </w:tc>
        <w:tc>
          <w:tcPr>
            <w:tcW w:w="1376" w:type="dxa"/>
            <w:tcBorders>
              <w:top w:val="nil"/>
              <w:left w:val="nil"/>
              <w:bottom w:val="single" w:sz="8" w:space="0" w:color="FFFFFF"/>
              <w:right w:val="single" w:sz="8" w:space="0" w:color="FFFFFF"/>
            </w:tcBorders>
            <w:shd w:val="clear" w:color="auto" w:fill="D9D9D9"/>
            <w:tcMar>
              <w:top w:w="100" w:type="dxa"/>
              <w:left w:w="100" w:type="dxa"/>
              <w:bottom w:w="100" w:type="dxa"/>
              <w:right w:w="100" w:type="dxa"/>
            </w:tcMar>
          </w:tcPr>
          <w:p w14:paraId="00000372" w14:textId="0225F43A" w:rsidR="007F09CB" w:rsidRPr="00EA423C" w:rsidRDefault="00DB28EC" w:rsidP="00EA423C">
            <w:pPr>
              <w:spacing w:before="0" w:after="0"/>
              <w:jc w:val="center"/>
              <w:rPr>
                <w:b w:val="0"/>
                <w:bCs w:val="0"/>
                <w:lang w:val="lv-LV"/>
              </w:rPr>
            </w:pPr>
            <w:r w:rsidRPr="00EA423C">
              <w:rPr>
                <w:b w:val="0"/>
                <w:bCs w:val="0"/>
                <w:lang w:val="lv-LV"/>
              </w:rPr>
              <w:t>279</w:t>
            </w:r>
            <w:r w:rsidR="00EA423C">
              <w:rPr>
                <w:b w:val="0"/>
                <w:bCs w:val="0"/>
                <w:lang w:val="lv-LV"/>
              </w:rPr>
              <w:t xml:space="preserve"> </w:t>
            </w:r>
            <w:r w:rsidRPr="00EA423C">
              <w:rPr>
                <w:b w:val="0"/>
                <w:bCs w:val="0"/>
                <w:lang w:val="lv-LV"/>
              </w:rPr>
              <w:t>026</w:t>
            </w:r>
            <w:r w:rsidR="00EA423C">
              <w:rPr>
                <w:b w:val="0"/>
                <w:bCs w:val="0"/>
                <w:lang w:val="lv-LV"/>
              </w:rPr>
              <w:t xml:space="preserve"> </w:t>
            </w:r>
            <w:r w:rsidRPr="00EA423C">
              <w:rPr>
                <w:b w:val="0"/>
                <w:bCs w:val="0"/>
                <w:lang w:val="lv-LV"/>
              </w:rPr>
              <w:t>780</w:t>
            </w:r>
          </w:p>
        </w:tc>
      </w:tr>
    </w:tbl>
    <w:p w14:paraId="00000373" w14:textId="77777777" w:rsidR="007F09CB" w:rsidRPr="0053072A" w:rsidRDefault="007F09CB">
      <w:pPr>
        <w:keepNext/>
        <w:pBdr>
          <w:top w:val="nil"/>
          <w:left w:val="nil"/>
          <w:bottom w:val="nil"/>
          <w:right w:val="nil"/>
          <w:between w:val="nil"/>
        </w:pBdr>
        <w:rPr>
          <w:rFonts w:ascii="Calibri" w:hAnsi="Calibri" w:cs="Calibri"/>
          <w:b/>
          <w:smallCaps/>
          <w:color w:val="134753"/>
          <w:lang w:val="lv-LV"/>
        </w:rPr>
      </w:pPr>
    </w:p>
    <w:p w14:paraId="00000374" w14:textId="77777777" w:rsidR="007F09CB" w:rsidRPr="0053072A" w:rsidRDefault="00DB28EC" w:rsidP="00EA423C">
      <w:pPr>
        <w:pStyle w:val="Focus"/>
        <w:rPr>
          <w:lang w:val="lv-LV"/>
        </w:rPr>
      </w:pPr>
      <w:r w:rsidRPr="0053072A">
        <w:rPr>
          <w:lang w:val="lv-LV"/>
        </w:rPr>
        <w:t>Ieņēmumi no valsts nodevas ieņēmumiem un drošības rezervju pārdošanas</w:t>
      </w:r>
    </w:p>
    <w:p w14:paraId="00000375" w14:textId="77777777" w:rsidR="007F09CB" w:rsidRPr="0053072A" w:rsidRDefault="00DB28EC">
      <w:pPr>
        <w:rPr>
          <w:lang w:val="lv-LV"/>
        </w:rPr>
      </w:pPr>
      <w:r w:rsidRPr="0053072A">
        <w:rPr>
          <w:lang w:val="lv-LV"/>
        </w:rPr>
        <w:t>Pozīcijā ietverti ieņēmumi no valsts nodevas un ieņēmumi, kas radušies pārdodot drošības rezerves, ja nākamajā periodā tiek samazināts drošības rezervju noteiktais minimālais apjoms un ir izveidojies pārpalikums. Līdz ar 2027. gadu paredzēts palielināt valsts nodevu par 20% pret pašreizējo likmi (19,30 EUR), lai aģentūra spētu segt drošības rezervju uzturēšanas izmaksas.</w:t>
      </w:r>
    </w:p>
    <w:p w14:paraId="00000376" w14:textId="77777777" w:rsidR="007F09CB" w:rsidRPr="0053072A" w:rsidRDefault="00DB28EC" w:rsidP="00EA423C">
      <w:pPr>
        <w:pStyle w:val="Focus"/>
        <w:rPr>
          <w:lang w:val="lv-LV"/>
        </w:rPr>
      </w:pPr>
      <w:r w:rsidRPr="0053072A">
        <w:rPr>
          <w:lang w:val="lv-LV"/>
        </w:rPr>
        <w:lastRenderedPageBreak/>
        <w:t>Ražošanas/realizācijas izmaksas</w:t>
      </w:r>
    </w:p>
    <w:p w14:paraId="00000377" w14:textId="77777777" w:rsidR="007F09CB" w:rsidRPr="0053072A" w:rsidRDefault="00DB28EC">
      <w:pPr>
        <w:rPr>
          <w:lang w:val="lv-LV"/>
        </w:rPr>
      </w:pPr>
      <w:bookmarkStart w:id="24" w:name="_heading=h.3whwml4" w:colFirst="0" w:colLast="0"/>
      <w:bookmarkEnd w:id="24"/>
      <w:r w:rsidRPr="0053072A">
        <w:rPr>
          <w:lang w:val="lv-LV"/>
        </w:rPr>
        <w:t>Iekļauta drošības rezervju iegāde, par to iegādes faktisko cenu uzskatot ikgadējo pamatsummas apmaksu, jo tā parāda drošības rezervju summāro vērtību, par kuru aģentūra ir veikusi norēķinu ar aizdevēju.</w:t>
      </w:r>
    </w:p>
    <w:p w14:paraId="00000378" w14:textId="77777777" w:rsidR="007F09CB" w:rsidRPr="0053072A" w:rsidRDefault="00DB28EC" w:rsidP="00EA423C">
      <w:pPr>
        <w:pStyle w:val="Focus"/>
        <w:rPr>
          <w:lang w:val="lv-LV"/>
        </w:rPr>
      </w:pPr>
      <w:r w:rsidRPr="0053072A">
        <w:rPr>
          <w:lang w:val="lv-LV"/>
        </w:rPr>
        <w:t>Bruto peļņa</w:t>
      </w:r>
    </w:p>
    <w:p w14:paraId="00000379" w14:textId="77777777" w:rsidR="007F09CB" w:rsidRPr="0053072A" w:rsidRDefault="00DB28EC">
      <w:pPr>
        <w:rPr>
          <w:lang w:val="lv-LV"/>
        </w:rPr>
      </w:pPr>
      <w:r w:rsidRPr="0053072A">
        <w:rPr>
          <w:lang w:val="lv-LV"/>
        </w:rPr>
        <w:t>Bruto peļņa raksturo, cik naudas līdzekļi atliek aģentūrai, lai segtu citas izmaksas pēc ražošanas/realizācijas izmaksu apmaksas.</w:t>
      </w:r>
    </w:p>
    <w:p w14:paraId="0000037A" w14:textId="77777777" w:rsidR="007F09CB" w:rsidRPr="0053072A" w:rsidRDefault="00DB28EC" w:rsidP="00EA423C">
      <w:pPr>
        <w:pStyle w:val="Focus"/>
        <w:rPr>
          <w:lang w:val="lv-LV"/>
        </w:rPr>
      </w:pPr>
      <w:r w:rsidRPr="0053072A">
        <w:rPr>
          <w:lang w:val="lv-LV"/>
        </w:rPr>
        <w:t>Atalgojuma izmaksas</w:t>
      </w:r>
    </w:p>
    <w:p w14:paraId="0000037B" w14:textId="77777777" w:rsidR="007F09CB" w:rsidRPr="0053072A" w:rsidRDefault="00DB28EC">
      <w:pPr>
        <w:rPr>
          <w:lang w:val="lv-LV"/>
        </w:rPr>
      </w:pPr>
      <w:r w:rsidRPr="0053072A">
        <w:rPr>
          <w:lang w:val="lv-LV"/>
        </w:rPr>
        <w:t>Atalgojuma izmaksās iekļautas visas atalgojuma izmaksas, iekļaujot darba devēja algas nodokļus un prēmiju budžetu. Ņemot vērā, ka pirmajā aģentūras darbības gadā (2023. gadā), aģentūra nebūs sasniegusi un pārsniegusi Publiskas personas kapitāla daļu un kapitālsabiedrību pārvaldības likuma 78. panta nosacījumus, kas paredz, kapitālsabiedrībā nepieciešama padome, tad 2023. gadā padome nav plānota. Tāpat nav nepieciešams naftas produktu tirgus analītiķis, jo netiek veikta drošības rezervju iegāde un/vai pārdošana. Šie abi faktori izskaidro, kāpēc 2023. gadā aģentūrai ir mazākas atalgojuma izmaksas kā turpmākajos gados.</w:t>
      </w:r>
    </w:p>
    <w:p w14:paraId="0000037C" w14:textId="77777777" w:rsidR="007F09CB" w:rsidRPr="0053072A" w:rsidRDefault="00DB28EC" w:rsidP="00EA423C">
      <w:pPr>
        <w:pStyle w:val="Focus"/>
        <w:rPr>
          <w:lang w:val="lv-LV"/>
        </w:rPr>
      </w:pPr>
      <w:r w:rsidRPr="0053072A">
        <w:rPr>
          <w:lang w:val="lv-LV"/>
        </w:rPr>
        <w:t>Ieņēmumi/zaudējumi no drošības rezervju rotācijas</w:t>
      </w:r>
    </w:p>
    <w:p w14:paraId="0000037D" w14:textId="77777777" w:rsidR="007F09CB" w:rsidRPr="0053072A" w:rsidRDefault="00DB28EC">
      <w:pPr>
        <w:rPr>
          <w:lang w:val="lv-LV"/>
        </w:rPr>
      </w:pPr>
      <w:r w:rsidRPr="0053072A">
        <w:rPr>
          <w:lang w:val="lv-LV"/>
        </w:rPr>
        <w:t>Iekļauti ieņēmumi/zaudējumi no drošības rezervju rotācijas. Šajā pozīcijā netiek iekļautas drošības rezervju rotācijas izmaksas, kas iekļauj pārkraušanas un transporta izmaksas. Šī pozīcija starp visām pārējām peļņas vai zaudējumu aprēķina uzskatāma par visgrūtāk prognozējamo, jo ir tieši atkarīga no naftas produktu tirgus cenu svārstībām. Finanšu aprēķinos rotācijas ieņēmumu/izdevumu pozīcija aprēķināta, aprēķinot nepieciešamos papildu līdzekļus, lai segtu izmaksu daļu, ko nesedz izvēlētā valsts nodevas likme. Pēc tam tiek novērtēts, vai nepieciešamā šķirtne starp pārdošanas un pirkšanas cenu ir reāli sasniedzama.</w:t>
      </w:r>
    </w:p>
    <w:p w14:paraId="0000037E" w14:textId="77777777" w:rsidR="007F09CB" w:rsidRPr="0053072A" w:rsidRDefault="00DB28EC" w:rsidP="00EA423C">
      <w:pPr>
        <w:pStyle w:val="Focus"/>
        <w:rPr>
          <w:lang w:val="lv-LV"/>
        </w:rPr>
      </w:pPr>
      <w:r w:rsidRPr="0053072A">
        <w:rPr>
          <w:lang w:val="lv-LV"/>
        </w:rPr>
        <w:t>Citas izmaksas</w:t>
      </w:r>
    </w:p>
    <w:p w14:paraId="0000037F" w14:textId="77777777" w:rsidR="007F09CB" w:rsidRPr="0053072A" w:rsidRDefault="00DB28EC">
      <w:pPr>
        <w:rPr>
          <w:lang w:val="lv-LV"/>
        </w:rPr>
      </w:pPr>
      <w:r w:rsidRPr="0053072A">
        <w:rPr>
          <w:lang w:val="lv-LV"/>
        </w:rPr>
        <w:t>Citās izmaksās iekļautas pumpēšanas, iekraušanas, transporta un apdrošināšanas izmaksas. Pumpēšanas un pārkraušanas izmaksas rodas, kad tiek iegādātas jaunas rezerves, pārdots rezervju apjoms, kas pārsniedz noteikto minimālo rezervju apjomu, vai arī rezervju rotācijas gadījumos. Pumpēšanas un kraušanas izmaksas attiecināmas tikai uz operācijā iesaistīto konkrēto produkta tonnāžu. Apdrošināšanas izmaksas ir pastāvīgas izmaksas un attiecināmas uz visu drošības rezervju apjomu. Apdrošināšanas tarifs, tāpat kā pumpēšanas un pārkraušanas cenas, tiek aprēķināts par tonnu.</w:t>
      </w:r>
    </w:p>
    <w:p w14:paraId="00000380" w14:textId="77777777" w:rsidR="007F09CB" w:rsidRPr="0053072A" w:rsidRDefault="00DB28EC" w:rsidP="00EA423C">
      <w:pPr>
        <w:pStyle w:val="Focus"/>
        <w:rPr>
          <w:lang w:val="lv-LV"/>
        </w:rPr>
      </w:pPr>
      <w:r w:rsidRPr="0053072A">
        <w:rPr>
          <w:lang w:val="lv-LV"/>
        </w:rPr>
        <w:t>Drošības rezervju uzglabāšanas infrastruktūras uzturēšanas izmaksas</w:t>
      </w:r>
    </w:p>
    <w:p w14:paraId="00000381" w14:textId="77777777" w:rsidR="007F09CB" w:rsidRPr="0053072A" w:rsidRDefault="00DB28EC">
      <w:pPr>
        <w:rPr>
          <w:lang w:val="lv-LV"/>
        </w:rPr>
      </w:pPr>
      <w:r w:rsidRPr="0053072A">
        <w:rPr>
          <w:lang w:val="lv-LV"/>
        </w:rPr>
        <w:t>Infrastruktūras uzglabāšanas izmaksas ietver drošības rezervju uzglabāšanas pakalpojumu, atsevišķos gadījumos var ietvert arī pārkraušanas pakalpojumu, un tiek aprēķināts kā tarifs par tonnu mēnesī. Aprēķinos izmantots 3 EUR/t mēnesī tarifs valstij piederošo drošības rezervju uzglabāšanai. Papildu aprēķinos iekļauti arī ārvalstu un Latvijas komersantu piedāvātie tarifi, kas attiecas uz pašreizējo modeli, no kura paredzama pāreja uz aģentūras modeli.</w:t>
      </w:r>
    </w:p>
    <w:p w14:paraId="00000382" w14:textId="77777777" w:rsidR="007F09CB" w:rsidRPr="0053072A" w:rsidRDefault="00DB28EC" w:rsidP="00EA423C">
      <w:pPr>
        <w:pStyle w:val="Focus"/>
        <w:rPr>
          <w:lang w:val="lv-LV"/>
        </w:rPr>
      </w:pPr>
      <w:r w:rsidRPr="0053072A">
        <w:rPr>
          <w:lang w:val="lv-LV"/>
        </w:rPr>
        <w:t>Procentu izmaksas</w:t>
      </w:r>
    </w:p>
    <w:p w14:paraId="00000383" w14:textId="77777777" w:rsidR="007F09CB" w:rsidRPr="0053072A" w:rsidRDefault="00DB28EC">
      <w:pPr>
        <w:rPr>
          <w:lang w:val="lv-LV"/>
        </w:rPr>
      </w:pPr>
      <w:r w:rsidRPr="0053072A">
        <w:rPr>
          <w:lang w:val="lv-LV"/>
        </w:rPr>
        <w:t>Iekļautas aizdevuma procentu izmaksas. Finanšu modelī procentu izmaksas noteiktas Latvijas valsts 10 gadu obligāciju procentu līmenī – 0,55% gadā.</w:t>
      </w:r>
    </w:p>
    <w:p w14:paraId="00000384" w14:textId="77777777" w:rsidR="007F09CB" w:rsidRPr="0053072A" w:rsidRDefault="00DB28EC" w:rsidP="00EA423C">
      <w:pPr>
        <w:pStyle w:val="Focus"/>
        <w:rPr>
          <w:lang w:val="lv-LV"/>
        </w:rPr>
      </w:pPr>
      <w:r w:rsidRPr="0053072A">
        <w:rPr>
          <w:lang w:val="lv-LV"/>
        </w:rPr>
        <w:t>Kopā citas izmaksas</w:t>
      </w:r>
    </w:p>
    <w:p w14:paraId="00000385" w14:textId="77777777" w:rsidR="007F09CB" w:rsidRPr="0053072A" w:rsidRDefault="00DB28EC">
      <w:pPr>
        <w:rPr>
          <w:lang w:val="lv-LV"/>
        </w:rPr>
      </w:pPr>
      <w:r w:rsidRPr="0053072A">
        <w:rPr>
          <w:lang w:val="lv-LV"/>
        </w:rPr>
        <w:t>Atalgojuma izmaksu, ieņēmumi/izdevumu no drošības rezervju rotācijas, citu izmaksu, infrastruktūras izmaksu un procentu izmaksu kopsumma.</w:t>
      </w:r>
    </w:p>
    <w:p w14:paraId="00000386" w14:textId="77777777" w:rsidR="007F09CB" w:rsidRPr="0053072A" w:rsidRDefault="00DB28EC" w:rsidP="00EA423C">
      <w:pPr>
        <w:pStyle w:val="Focus"/>
        <w:rPr>
          <w:lang w:val="lv-LV"/>
        </w:rPr>
      </w:pPr>
      <w:r w:rsidRPr="0053072A">
        <w:rPr>
          <w:lang w:val="lv-LV"/>
        </w:rPr>
        <w:lastRenderedPageBreak/>
        <w:t>Peļņa/zaudējumi pirms nodokļiem un amortizācijas</w:t>
      </w:r>
    </w:p>
    <w:p w14:paraId="00000387" w14:textId="77777777" w:rsidR="007F09CB" w:rsidRPr="0053072A" w:rsidRDefault="00DB28EC">
      <w:pPr>
        <w:rPr>
          <w:lang w:val="lv-LV"/>
        </w:rPr>
      </w:pPr>
      <w:r w:rsidRPr="0053072A">
        <w:rPr>
          <w:lang w:val="lv-LV"/>
        </w:rPr>
        <w:t>Parāda finanšu resursu apjomu, kas pieejams aģentūrai, lai segtu dividenžu un uzņēmumu ienākuma nodokļa (turpmāk – UIN) maksājumus.</w:t>
      </w:r>
    </w:p>
    <w:p w14:paraId="00000388" w14:textId="77777777" w:rsidR="007F09CB" w:rsidRPr="0053072A" w:rsidRDefault="00DB28EC" w:rsidP="00EA423C">
      <w:pPr>
        <w:pStyle w:val="Focus"/>
        <w:rPr>
          <w:lang w:val="lv-LV"/>
        </w:rPr>
      </w:pPr>
      <w:r w:rsidRPr="0053072A">
        <w:rPr>
          <w:lang w:val="lv-LV"/>
        </w:rPr>
        <w:t>Dividendes</w:t>
      </w:r>
    </w:p>
    <w:p w14:paraId="00000389" w14:textId="77777777" w:rsidR="007F09CB" w:rsidRPr="0053072A" w:rsidRDefault="00DB28EC">
      <w:pPr>
        <w:rPr>
          <w:lang w:val="lv-LV"/>
        </w:rPr>
      </w:pPr>
      <w:r w:rsidRPr="0053072A">
        <w:rPr>
          <w:lang w:val="lv-LV"/>
        </w:rPr>
        <w:t>Ņemot vērā, ka aģentūrai nav paredzēts gūt peļņu, nav paredzēta dividenžu izmaksa.</w:t>
      </w:r>
    </w:p>
    <w:p w14:paraId="0000038A" w14:textId="77777777" w:rsidR="007F09CB" w:rsidRPr="0053072A" w:rsidRDefault="00DB28EC" w:rsidP="00EA423C">
      <w:pPr>
        <w:pStyle w:val="Focus"/>
        <w:rPr>
          <w:lang w:val="lv-LV"/>
        </w:rPr>
      </w:pPr>
      <w:r w:rsidRPr="0053072A">
        <w:rPr>
          <w:lang w:val="lv-LV"/>
        </w:rPr>
        <w:t>UIN maksājumi</w:t>
      </w:r>
    </w:p>
    <w:p w14:paraId="0000038B" w14:textId="77777777" w:rsidR="007F09CB" w:rsidRPr="0053072A" w:rsidRDefault="00DB28EC">
      <w:pPr>
        <w:rPr>
          <w:lang w:val="lv-LV"/>
        </w:rPr>
      </w:pPr>
      <w:r w:rsidRPr="0053072A">
        <w:rPr>
          <w:lang w:val="lv-LV"/>
        </w:rPr>
        <w:t>Ņemot vērā, ka aģentūrai nav paredzēts gūt peļņu, nav paredzams, ka aģentūrai veicama UIN apmaksa.</w:t>
      </w:r>
    </w:p>
    <w:p w14:paraId="0000038C" w14:textId="77777777" w:rsidR="007F09CB" w:rsidRPr="0053072A" w:rsidRDefault="00DB28EC" w:rsidP="00EA423C">
      <w:pPr>
        <w:pStyle w:val="Focus"/>
        <w:rPr>
          <w:lang w:val="lv-LV"/>
        </w:rPr>
      </w:pPr>
      <w:r w:rsidRPr="0053072A">
        <w:rPr>
          <w:lang w:val="lv-LV"/>
        </w:rPr>
        <w:t>Neto peļņa</w:t>
      </w:r>
    </w:p>
    <w:p w14:paraId="0000038D" w14:textId="77777777" w:rsidR="007F09CB" w:rsidRPr="0053072A" w:rsidRDefault="00DB28EC">
      <w:pPr>
        <w:rPr>
          <w:lang w:val="lv-LV"/>
        </w:rPr>
        <w:sectPr w:rsidR="007F09CB" w:rsidRPr="0053072A">
          <w:pgSz w:w="16839" w:h="11907" w:orient="landscape"/>
          <w:pgMar w:top="1440" w:right="1440" w:bottom="1022" w:left="1152" w:header="706" w:footer="288" w:gutter="0"/>
          <w:cols w:space="720"/>
        </w:sectPr>
      </w:pPr>
      <w:r w:rsidRPr="0053072A">
        <w:rPr>
          <w:lang w:val="lv-LV"/>
        </w:rPr>
        <w:t>Veidojamajai aģentūrai nav paredzēts gūt peļņu. Finanšu aprēķinu ietvaros 1 000 000 EUR neto peļņa kā mērķis ir izvirzīta, lai samazinātu aprēķinu iespējamo kļūdu negatīvo ietekmi. Tāpēc neto peļņas laukā ievietota 3-4% iespējamā aprēķinu kļūda. Ja aģentūra faktiskās darbības laikā gūst neto peļņu, tad to ir paredzēts novirzīt nākamo periodu izmaksu segšanai.</w:t>
      </w:r>
    </w:p>
    <w:p w14:paraId="0000038E" w14:textId="77777777" w:rsidR="007F09CB" w:rsidRPr="0053072A" w:rsidRDefault="00DB28EC">
      <w:pPr>
        <w:rPr>
          <w:b/>
          <w:smallCaps/>
          <w:color w:val="134753"/>
          <w:sz w:val="40"/>
          <w:szCs w:val="40"/>
          <w:lang w:val="lv-LV"/>
        </w:rPr>
      </w:pPr>
      <w:bookmarkStart w:id="25" w:name="_heading=h.ua9hmnplhrr3" w:colFirst="0" w:colLast="0"/>
      <w:bookmarkEnd w:id="25"/>
      <w:r w:rsidRPr="0053072A">
        <w:rPr>
          <w:b/>
          <w:smallCaps/>
          <w:color w:val="134753"/>
          <w:sz w:val="40"/>
          <w:szCs w:val="40"/>
          <w:lang w:val="lv-LV"/>
        </w:rPr>
        <w:lastRenderedPageBreak/>
        <w:t>SECINĀJUMI UN PRIEKŠLIKUMI</w:t>
      </w:r>
    </w:p>
    <w:p w14:paraId="0000038F" w14:textId="77777777" w:rsidR="007F09CB" w:rsidRPr="0053072A" w:rsidRDefault="007F09CB">
      <w:pPr>
        <w:ind w:left="720"/>
        <w:rPr>
          <w:lang w:val="lv-LV"/>
        </w:rPr>
      </w:pPr>
    </w:p>
    <w:p w14:paraId="00000390" w14:textId="2C1BA93D" w:rsidR="007F09CB" w:rsidRPr="0053072A" w:rsidRDefault="00DB28EC">
      <w:pPr>
        <w:numPr>
          <w:ilvl w:val="0"/>
          <w:numId w:val="9"/>
        </w:numPr>
        <w:pBdr>
          <w:top w:val="nil"/>
          <w:left w:val="nil"/>
          <w:bottom w:val="nil"/>
          <w:right w:val="nil"/>
          <w:between w:val="nil"/>
        </w:pBdr>
        <w:rPr>
          <w:rFonts w:ascii="Calibri" w:hAnsi="Calibri" w:cs="Calibri"/>
          <w:color w:val="000000"/>
          <w:lang w:val="lv-LV"/>
        </w:rPr>
      </w:pPr>
      <w:r w:rsidRPr="0053072A">
        <w:rPr>
          <w:rFonts w:ascii="Calibri" w:hAnsi="Calibri" w:cs="Calibri"/>
          <w:color w:val="000000"/>
          <w:lang w:val="lv-LV"/>
        </w:rPr>
        <w:t>Modelis, kurā drošības rezerves ir valsts īpašumā ir uzskatāms par izdevīgāku attiecībā pret pašreizējo drošības rezervju uzturēšanas modeli. Uzturēšanas ziņā</w:t>
      </w:r>
      <w:r w:rsidR="0011743F">
        <w:rPr>
          <w:rFonts w:ascii="Calibri" w:hAnsi="Calibri" w:cs="Calibri"/>
          <w:color w:val="000000"/>
          <w:lang w:val="lv-LV"/>
        </w:rPr>
        <w:t>, atbilstoši veiktajiem aprēķiniem</w:t>
      </w:r>
      <w:r w:rsidRPr="0053072A">
        <w:rPr>
          <w:rFonts w:ascii="Calibri" w:hAnsi="Calibri" w:cs="Calibri"/>
          <w:color w:val="000000"/>
          <w:lang w:val="lv-LV"/>
        </w:rPr>
        <w:t xml:space="preserve">, aģentūras modelis, salīdzinot ar scenāriju, kad visas drošības rezerves tiek glabātas Latvijā, bet nepieder valstij, nodrošina līdz pat 16,37 EUR/t drošības rezervju uzturēšanas samazinājumu. Tas nozīmē potenciāli līdz pat 26,5% samazinājumu uzturēšanas izmaksām 2029. gadā, salīdzinot to ar 2023. gadu. Tomēr, līdz tiek nonākts līdz situācijai, kad pateicoties minētajam samazinājumam iespējams samazināt valsts nodevu, ir nepieciešami vismaz 10 gadi </w:t>
      </w:r>
      <w:r w:rsidR="0011743F">
        <w:rPr>
          <w:rFonts w:ascii="Calibri" w:hAnsi="Calibri" w:cs="Calibri"/>
          <w:color w:val="000000"/>
          <w:lang w:val="lv-LV"/>
        </w:rPr>
        <w:t xml:space="preserve">(ja pāreja tiek sākta </w:t>
      </w:r>
      <w:r w:rsidRPr="0053072A">
        <w:rPr>
          <w:rFonts w:ascii="Calibri" w:hAnsi="Calibri" w:cs="Calibri"/>
          <w:color w:val="000000"/>
          <w:lang w:val="lv-LV"/>
        </w:rPr>
        <w:t>2024. gad</w:t>
      </w:r>
      <w:r w:rsidR="0011743F">
        <w:rPr>
          <w:rFonts w:ascii="Calibri" w:hAnsi="Calibri" w:cs="Calibri"/>
          <w:color w:val="000000"/>
          <w:lang w:val="lv-LV"/>
        </w:rPr>
        <w:t>ā)</w:t>
      </w:r>
      <w:r w:rsidRPr="0053072A">
        <w:rPr>
          <w:rFonts w:ascii="Calibri" w:hAnsi="Calibri" w:cs="Calibri"/>
          <w:color w:val="000000"/>
          <w:lang w:val="lv-LV"/>
        </w:rPr>
        <w:t>. Tāpat jāņem vērā praktiski neprognozējamais finanšu risks (naftas produktu cenu svārstības), kas drošības rezervju iegādei izsniegto aizdevumu apmaksas perioda laikā (2024.-2038. gads) var radīt situācijas, kad valsts nodeva ir jāpaaugstina, lai segtu aizņēmuma ikmēneša maksājumu.</w:t>
      </w:r>
    </w:p>
    <w:p w14:paraId="00000391" w14:textId="77777777" w:rsidR="007F09CB" w:rsidRPr="0053072A" w:rsidRDefault="00DB28EC">
      <w:pPr>
        <w:numPr>
          <w:ilvl w:val="0"/>
          <w:numId w:val="16"/>
        </w:numPr>
        <w:rPr>
          <w:lang w:val="lv-LV"/>
        </w:rPr>
      </w:pPr>
      <w:r w:rsidRPr="0053072A">
        <w:rPr>
          <w:lang w:val="lv-LV"/>
        </w:rPr>
        <w:t>Ja netiek paredzētas krasas vidēja termiņa pieprasījuma un cenas svārstības, tad 10 gadu laikā kopš pirmo drošības rezervju iegādes pastāv iespēja, ka ietaupījums uzturēšanas izmaksās ļaus uzsākt samazināt valsts nodevas likmi.</w:t>
      </w:r>
    </w:p>
    <w:p w14:paraId="00000392" w14:textId="77777777" w:rsidR="007F09CB" w:rsidRPr="0053072A" w:rsidRDefault="00DB28EC">
      <w:pPr>
        <w:numPr>
          <w:ilvl w:val="0"/>
          <w:numId w:val="16"/>
        </w:numPr>
        <w:rPr>
          <w:lang w:val="lv-LV"/>
        </w:rPr>
      </w:pPr>
      <w:r w:rsidRPr="0053072A">
        <w:rPr>
          <w:lang w:val="lv-LV"/>
        </w:rPr>
        <w:t>Lai iegādātos drošības rezerves, paredzēts secīgi, sākot no 2024. gada, aģentūrai veikt 5 aizņēmumus. Šāds risinājums ievērojami samazina potenciālo slogu uz budžetu (valsts nodevas paaugstināšana par 20-60%), samazina finanšu risku, paredzot, ka aģentūra no valsts nodevas ieņēmumiem un potenciālajiem rotācijas ieņēmumiem spēs segt aizņēmumu maksājumus.</w:t>
      </w:r>
    </w:p>
    <w:p w14:paraId="00000393" w14:textId="77777777" w:rsidR="007F09CB" w:rsidRPr="0053072A" w:rsidRDefault="00DB28EC">
      <w:pPr>
        <w:numPr>
          <w:ilvl w:val="0"/>
          <w:numId w:val="16"/>
        </w:numPr>
        <w:rPr>
          <w:lang w:val="lv-LV"/>
        </w:rPr>
      </w:pPr>
      <w:r w:rsidRPr="0053072A">
        <w:rPr>
          <w:lang w:val="lv-LV"/>
        </w:rPr>
        <w:t>Balstoties uz veiktajiem aprēķiniem, tiek paredzēts, ka finansiāli riskantākais laika periods būtu 2028.-2034. gads, kad paralēli aģentūrai ir jāsedz visu 5 aizņēmumu maksājumi (2034. gadā beidzas pirmā aizņēmuma apmaksas termiņš). Paredzams, ka šajā periodā būs nepieciešams paaugstināt valsts nodevas likmi vismaz par 20%.</w:t>
      </w:r>
    </w:p>
    <w:p w14:paraId="00000394" w14:textId="395F2AF2" w:rsidR="007F09CB" w:rsidRPr="0053072A" w:rsidRDefault="00DB28EC">
      <w:pPr>
        <w:numPr>
          <w:ilvl w:val="0"/>
          <w:numId w:val="16"/>
        </w:numPr>
        <w:rPr>
          <w:lang w:val="lv-LV"/>
        </w:rPr>
      </w:pPr>
      <w:r w:rsidRPr="0053072A">
        <w:rPr>
          <w:lang w:val="lv-LV"/>
        </w:rPr>
        <w:t xml:space="preserve">Ņemot vērā reģiona virzību uz lielāku atjaunojamo resursu izmantošanu, šis vērtējams, kā atbilstošs brīdis drošības rezervju iegādei, jo no 2025. gada OECD Eiropas reģionā OPEC prognozē regulāru pieprasījuma samazinājumu pēc naftas produktiem. </w:t>
      </w:r>
      <w:r w:rsidR="0011743F">
        <w:rPr>
          <w:lang w:val="lv-LV"/>
        </w:rPr>
        <w:t>Atbilstoši šiem pieņēmumiem,</w:t>
      </w:r>
      <w:r w:rsidRPr="0053072A">
        <w:rPr>
          <w:lang w:val="lv-LV"/>
        </w:rPr>
        <w:t xml:space="preserve"> brīdī, kad Latvija būs iegādājusies visas drošības rezerves valsts īpašumā 2028. gadā, būs iespējams pārdot drošības rezervju apjomu, kas pārsniegs noteikto drošības rezervju apjoma minimumu, šādā veidā ģenerējot papildu ieņēmumus. Pēc OPEC prognoz</w:t>
      </w:r>
      <w:r w:rsidR="0011743F">
        <w:rPr>
          <w:lang w:val="lv-LV"/>
        </w:rPr>
        <w:t>ēm</w:t>
      </w:r>
      <w:r w:rsidRPr="0053072A">
        <w:rPr>
          <w:lang w:val="lv-LV"/>
        </w:rPr>
        <w:t>, šāds regulārs pieprasījuma samazinājums pēc naftas produktiem</w:t>
      </w:r>
      <w:r w:rsidR="0011743F">
        <w:rPr>
          <w:lang w:val="lv-LV"/>
        </w:rPr>
        <w:t xml:space="preserve"> ir sagaidāms</w:t>
      </w:r>
      <w:r w:rsidRPr="0053072A">
        <w:rPr>
          <w:lang w:val="lv-LV"/>
        </w:rPr>
        <w:t xml:space="preserve"> ilgtermiņā.</w:t>
      </w:r>
    </w:p>
    <w:p w14:paraId="00000395" w14:textId="77777777" w:rsidR="007F09CB" w:rsidRPr="0053072A" w:rsidRDefault="00DB28EC">
      <w:pPr>
        <w:numPr>
          <w:ilvl w:val="0"/>
          <w:numId w:val="16"/>
        </w:numPr>
        <w:rPr>
          <w:lang w:val="lv-LV"/>
        </w:rPr>
      </w:pPr>
      <w:r w:rsidRPr="0053072A">
        <w:rPr>
          <w:lang w:val="lv-LV"/>
        </w:rPr>
        <w:t>Pastiprināta uzmanība jāpievērš ģeopolitiskajiem notikumiem, īpaši pašreizējam karam Ukrainā, jo tam ir tieša ietekme uz pašreizējām naftas cenām. Tas savukārt var radīt risku, ka drošības rezerves tiktu iegādātas par augstāku cenu, nekā tās pēc tam iespējams realizēt.</w:t>
      </w:r>
    </w:p>
    <w:p w14:paraId="00000396" w14:textId="77777777" w:rsidR="007F09CB" w:rsidRPr="0053072A" w:rsidRDefault="00DB28EC">
      <w:pPr>
        <w:numPr>
          <w:ilvl w:val="0"/>
          <w:numId w:val="16"/>
        </w:numPr>
        <w:rPr>
          <w:lang w:val="lv-LV"/>
        </w:rPr>
      </w:pPr>
      <w:r w:rsidRPr="0053072A">
        <w:rPr>
          <w:lang w:val="lv-LV"/>
        </w:rPr>
        <w:t>Kā pozitīvs faktors aģentūras modeļa gadījumā, salīdzinājumā ar esošo situāciju, ir lielāka iespēja iegādāties drošības rezervju veidu atbilstoši faktiskajai tirgus pieprasījuma proporcijai.</w:t>
      </w:r>
    </w:p>
    <w:p w14:paraId="00000397" w14:textId="77777777" w:rsidR="007F09CB" w:rsidRPr="0053072A" w:rsidRDefault="00DB28EC">
      <w:pPr>
        <w:numPr>
          <w:ilvl w:val="0"/>
          <w:numId w:val="16"/>
        </w:numPr>
        <w:rPr>
          <w:lang w:val="lv-LV"/>
        </w:rPr>
      </w:pPr>
      <w:r w:rsidRPr="0053072A">
        <w:rPr>
          <w:lang w:val="lv-LV"/>
        </w:rPr>
        <w:t>Izveidojot aģentūru, atalgojuma izmaksas tiek paredzētas vidēji 1% apjomā no visām aģentūras izmaksām, kas uzskatāms par zemu un atbilstošu rādītāju, un nerada nozīmīgu izmaksu slodzi.</w:t>
      </w:r>
    </w:p>
    <w:p w14:paraId="00000398" w14:textId="77777777" w:rsidR="007F09CB" w:rsidRPr="0053072A" w:rsidRDefault="00DB28EC">
      <w:pPr>
        <w:numPr>
          <w:ilvl w:val="0"/>
          <w:numId w:val="16"/>
        </w:numPr>
        <w:rPr>
          <w:lang w:val="lv-LV"/>
        </w:rPr>
      </w:pPr>
      <w:r w:rsidRPr="0053072A">
        <w:rPr>
          <w:lang w:val="lv-LV"/>
        </w:rPr>
        <w:t>Nozīmīgāko finansiālo risku rada aizņēmumu ikmēneša maksājumi periodā no 2028.-2034. gadam (katru gadu paralēli tiek apmaksāti visi 5 aizņēmumi), un naftas produktu cenas augstā jutība pret pētījumā minētajiem ārējiem faktoriem. Rezultātā pastāv iespēja, ka neparedzētu negatīvu naftas produktu cenas izmaiņu rezultātā ir nepieciešams paaugstināt valsts nodevas likmi vairāk nekā par 20%.</w:t>
      </w:r>
    </w:p>
    <w:p w14:paraId="00000399" w14:textId="4E123115" w:rsidR="007F09CB" w:rsidRPr="0053072A" w:rsidRDefault="00DB28EC">
      <w:pPr>
        <w:numPr>
          <w:ilvl w:val="0"/>
          <w:numId w:val="16"/>
        </w:numPr>
        <w:rPr>
          <w:lang w:val="lv-LV"/>
        </w:rPr>
      </w:pPr>
      <w:r w:rsidRPr="0053072A">
        <w:rPr>
          <w:lang w:val="lv-LV"/>
        </w:rPr>
        <w:t xml:space="preserve">Lai izslēgtu iepriekšminēto </w:t>
      </w:r>
      <w:r w:rsidR="0011743F">
        <w:rPr>
          <w:lang w:val="lv-LV"/>
        </w:rPr>
        <w:t>risku,</w:t>
      </w:r>
      <w:r w:rsidRPr="0053072A">
        <w:rPr>
          <w:lang w:val="lv-LV"/>
        </w:rPr>
        <w:t xml:space="preserve"> ir iespējami scenāriji</w:t>
      </w:r>
      <w:r w:rsidR="0011743F">
        <w:rPr>
          <w:lang w:val="lv-LV"/>
        </w:rPr>
        <w:t xml:space="preserve"> ar dažādām īstenošanas niansēm</w:t>
      </w:r>
      <w:r w:rsidRPr="0053072A">
        <w:rPr>
          <w:lang w:val="lv-LV"/>
        </w:rPr>
        <w:t>.</w:t>
      </w:r>
      <w:r w:rsidR="0011743F">
        <w:rPr>
          <w:lang w:val="lv-LV"/>
        </w:rPr>
        <w:t xml:space="preserve"> No tiem kā piemēri tiek skatīti divi scenāriji: p</w:t>
      </w:r>
      <w:r w:rsidRPr="0053072A">
        <w:rPr>
          <w:lang w:val="lv-LV"/>
        </w:rPr>
        <w:t>irmais scenārijs paredz no 2026.</w:t>
      </w:r>
      <w:r w:rsidR="0011743F">
        <w:rPr>
          <w:lang w:val="lv-LV"/>
        </w:rPr>
        <w:t xml:space="preserve"> līdz </w:t>
      </w:r>
      <w:r w:rsidRPr="0053072A">
        <w:rPr>
          <w:lang w:val="lv-LV"/>
        </w:rPr>
        <w:t>2034. gadam aģentūrai novirzīt papildu 90,85 milj. EUR no valsts budžeta</w:t>
      </w:r>
      <w:r w:rsidR="0011743F">
        <w:rPr>
          <w:lang w:val="lv-LV"/>
        </w:rPr>
        <w:t>; o</w:t>
      </w:r>
      <w:r w:rsidRPr="0053072A">
        <w:rPr>
          <w:lang w:val="lv-LV"/>
        </w:rPr>
        <w:t>trs scenārijs paredz pagarināt aizņēmuma termiņu no 10 uz 19 gadiem, šādā veidā pietiekamā apjomā samazinot</w:t>
      </w:r>
      <w:r w:rsidR="0011743F">
        <w:rPr>
          <w:lang w:val="lv-LV"/>
        </w:rPr>
        <w:t xml:space="preserve"> ikgadējos</w:t>
      </w:r>
      <w:r w:rsidRPr="0053072A">
        <w:rPr>
          <w:lang w:val="lv-LV"/>
        </w:rPr>
        <w:t xml:space="preserve"> pamatsummas </w:t>
      </w:r>
      <w:r w:rsidRPr="0053072A">
        <w:rPr>
          <w:lang w:val="lv-LV"/>
        </w:rPr>
        <w:lastRenderedPageBreak/>
        <w:t>maksājumu</w:t>
      </w:r>
      <w:r w:rsidR="0011743F">
        <w:rPr>
          <w:lang w:val="lv-LV"/>
        </w:rPr>
        <w:t>s</w:t>
      </w:r>
      <w:r w:rsidRPr="0053072A">
        <w:rPr>
          <w:lang w:val="lv-LV"/>
        </w:rPr>
        <w:t xml:space="preserve">. </w:t>
      </w:r>
      <w:r w:rsidR="0011743F">
        <w:rPr>
          <w:lang w:val="lv-LV"/>
        </w:rPr>
        <w:t>Otrajā</w:t>
      </w:r>
      <w:r w:rsidRPr="0053072A">
        <w:rPr>
          <w:lang w:val="lv-LV"/>
        </w:rPr>
        <w:t xml:space="preserve"> scenārijā nav nepieciešams no valsts budžeta novirzīt papildu finanšu līdzekļus un nepastāv risks, ka rotācijas operācijas nespēs ģenerēt sagaidāmos ieņēmumus. </w:t>
      </w:r>
      <w:r w:rsidRPr="00793C18">
        <w:rPr>
          <w:lang w:val="lv-LV"/>
        </w:rPr>
        <w:t>Tas nozīmē, ka aģentūra šajā gadījumā ir pašpietiekama struktūra, kas spēj patstāvīgi segt ar tās darbību un drošības rezervju iegādi saistītās izmaksas no valsts nodevas ieņēmumiem.</w:t>
      </w:r>
    </w:p>
    <w:p w14:paraId="0000039A" w14:textId="77777777" w:rsidR="007F09CB" w:rsidRPr="0053072A" w:rsidRDefault="007F09CB">
      <w:pPr>
        <w:ind w:left="720"/>
        <w:rPr>
          <w:lang w:val="lv-LV"/>
        </w:rPr>
      </w:pPr>
    </w:p>
    <w:sectPr w:rsidR="007F09CB" w:rsidRPr="0053072A">
      <w:pgSz w:w="11907" w:h="16839"/>
      <w:pgMar w:top="1440" w:right="1022" w:bottom="1152" w:left="1440" w:header="706"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9D5C" w14:textId="77777777" w:rsidR="00BE1865" w:rsidRDefault="00BE1865">
      <w:pPr>
        <w:spacing w:after="0"/>
      </w:pPr>
      <w:r>
        <w:separator/>
      </w:r>
    </w:p>
  </w:endnote>
  <w:endnote w:type="continuationSeparator" w:id="0">
    <w:p w14:paraId="53A0AAC8" w14:textId="77777777" w:rsidR="00BE1865" w:rsidRDefault="00BE18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Regular">
    <w:altName w:val="Calibri"/>
    <w:panose1 w:val="00000000000000000000"/>
    <w:charset w:val="00"/>
    <w:family w:val="roman"/>
    <w:notTrueType/>
    <w:pitch w:val="default"/>
  </w:font>
  <w:font w:name="Avenir Next Demi Bold">
    <w:altName w:val="Calibri"/>
    <w:panose1 w:val="00000000000000000000"/>
    <w:charset w:val="00"/>
    <w:family w:val="roman"/>
    <w:notTrueType/>
    <w:pitch w:val="default"/>
  </w:font>
  <w:font w:name="Avenir">
    <w:charset w:val="00"/>
    <w:family w:val="auto"/>
    <w:pitch w:val="default"/>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1" w14:textId="0FFDB30D" w:rsidR="007F09CB" w:rsidRDefault="00DB28EC">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53072A">
      <w:rPr>
        <w:rFonts w:ascii="Calibri" w:hAnsi="Calibri" w:cs="Calibri"/>
        <w:noProof/>
        <w:color w:val="000000"/>
      </w:rPr>
      <w:t>1</w:t>
    </w:r>
    <w:r>
      <w:rPr>
        <w:rFonts w:ascii="Calibri" w:hAnsi="Calibri" w:cs="Calibri"/>
        <w:color w:val="000000"/>
      </w:rPr>
      <w:fldChar w:fldCharType="end"/>
    </w:r>
  </w:p>
  <w:p w14:paraId="000003B2" w14:textId="77777777" w:rsidR="007F09CB" w:rsidRDefault="007F09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3A693" w14:textId="77777777" w:rsidR="00BE1865" w:rsidRDefault="00BE1865">
      <w:pPr>
        <w:spacing w:after="0"/>
      </w:pPr>
      <w:r>
        <w:separator/>
      </w:r>
    </w:p>
  </w:footnote>
  <w:footnote w:type="continuationSeparator" w:id="0">
    <w:p w14:paraId="023674D2" w14:textId="77777777" w:rsidR="00BE1865" w:rsidRDefault="00BE1865">
      <w:pPr>
        <w:spacing w:after="0"/>
      </w:pPr>
      <w:r>
        <w:continuationSeparator/>
      </w:r>
    </w:p>
  </w:footnote>
  <w:footnote w:id="1">
    <w:p w14:paraId="0000039B" w14:textId="77777777" w:rsidR="007F09CB" w:rsidRDefault="00DB28EC">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w:t>
      </w:r>
      <w:hyperlink r:id="rId1">
        <w:r>
          <w:rPr>
            <w:rFonts w:ascii="Calibri" w:hAnsi="Calibri" w:cs="Calibri"/>
            <w:color w:val="0000FF"/>
            <w:sz w:val="20"/>
            <w:szCs w:val="20"/>
            <w:u w:val="single"/>
          </w:rPr>
          <w:t>Visual capitalist.</w:t>
        </w:r>
      </w:hyperlink>
      <w:r>
        <w:rPr>
          <w:rFonts w:ascii="Calibri" w:hAnsi="Calibri" w:cs="Calibri"/>
          <w:color w:val="0000FF"/>
          <w:sz w:val="20"/>
          <w:szCs w:val="20"/>
          <w:u w:val="single"/>
        </w:rPr>
        <w:t xml:space="preserve"> Long Waves: The History of Innovation Cycles</w:t>
      </w:r>
    </w:p>
  </w:footnote>
  <w:footnote w:id="2">
    <w:p w14:paraId="0000039C" w14:textId="77777777" w:rsidR="007F09CB" w:rsidRDefault="00DB28EC">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w:t>
      </w:r>
      <w:hyperlink r:id="rId2">
        <w:r>
          <w:rPr>
            <w:rFonts w:ascii="Calibri" w:hAnsi="Calibri" w:cs="Calibri"/>
            <w:color w:val="0000FF"/>
            <w:sz w:val="20"/>
            <w:szCs w:val="20"/>
            <w:u w:val="single"/>
          </w:rPr>
          <w:t>U.S Energy Information administration</w:t>
        </w:r>
      </w:hyperlink>
      <w:r>
        <w:rPr>
          <w:rFonts w:ascii="Calibri" w:hAnsi="Calibri" w:cs="Calibri"/>
          <w:color w:val="0000FF"/>
          <w:sz w:val="20"/>
          <w:szCs w:val="20"/>
          <w:u w:val="single"/>
        </w:rPr>
        <w:t>. What Drives Crude Oil Prices</w:t>
      </w:r>
    </w:p>
  </w:footnote>
  <w:footnote w:id="3">
    <w:p w14:paraId="0000039D" w14:textId="77777777" w:rsidR="007F09CB" w:rsidRDefault="00DB28EC">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w:t>
      </w:r>
      <w:hyperlink r:id="rId3" w:anchor=":~:text=The%20energy%20infrastructure%20of%20EU,networks)%20to%20develop%20better%2Dconnected">
        <w:r>
          <w:rPr>
            <w:rFonts w:ascii="Calibri" w:hAnsi="Calibri" w:cs="Calibri"/>
            <w:color w:val="0000FF"/>
            <w:sz w:val="20"/>
            <w:szCs w:val="20"/>
            <w:u w:val="single"/>
          </w:rPr>
          <w:t>European Parliament</w:t>
        </w:r>
      </w:hyperlink>
      <w:r>
        <w:rPr>
          <w:rFonts w:ascii="Calibri" w:hAnsi="Calibri" w:cs="Calibri"/>
          <w:color w:val="0000FF"/>
          <w:sz w:val="20"/>
          <w:szCs w:val="20"/>
          <w:u w:val="single"/>
        </w:rPr>
        <w:t>. Energy policy: general principles</w:t>
      </w:r>
    </w:p>
  </w:footnote>
  <w:footnote w:id="4">
    <w:p w14:paraId="0000039E" w14:textId="77777777" w:rsidR="007F09CB" w:rsidRDefault="00DB28EC">
      <w:pPr>
        <w:spacing w:after="0"/>
        <w:rPr>
          <w:sz w:val="20"/>
          <w:szCs w:val="20"/>
        </w:rPr>
      </w:pPr>
      <w:r>
        <w:rPr>
          <w:rStyle w:val="FootnoteReference"/>
        </w:rPr>
        <w:footnoteRef/>
      </w:r>
      <w:r>
        <w:rPr>
          <w:rFonts w:ascii="Calibri" w:hAnsi="Calibri" w:cs="Calibri"/>
          <w:color w:val="0000FF"/>
          <w:sz w:val="20"/>
          <w:szCs w:val="20"/>
          <w:u w:val="single"/>
        </w:rPr>
        <w:t xml:space="preserve"> </w:t>
      </w:r>
      <w:hyperlink r:id="rId4">
        <w:r>
          <w:rPr>
            <w:rFonts w:ascii="Calibri" w:hAnsi="Calibri" w:cs="Calibri"/>
            <w:color w:val="0000FF"/>
            <w:sz w:val="20"/>
            <w:szCs w:val="20"/>
            <w:u w:val="single"/>
          </w:rPr>
          <w:t>Eurostat. GDP and main components (output, expenditure and income)</w:t>
        </w:r>
      </w:hyperlink>
    </w:p>
  </w:footnote>
  <w:footnote w:id="5">
    <w:p w14:paraId="0000039F" w14:textId="77777777" w:rsidR="007F09CB" w:rsidRDefault="00DB28EC">
      <w:pPr>
        <w:spacing w:after="0"/>
        <w:rPr>
          <w:sz w:val="20"/>
          <w:szCs w:val="20"/>
        </w:rPr>
      </w:pPr>
      <w:r>
        <w:rPr>
          <w:rStyle w:val="FootnoteReference"/>
        </w:rPr>
        <w:footnoteRef/>
      </w:r>
      <w:r>
        <w:rPr>
          <w:sz w:val="20"/>
          <w:szCs w:val="20"/>
        </w:rPr>
        <w:t xml:space="preserve"> </w:t>
      </w:r>
      <w:hyperlink r:id="rId5">
        <w:r>
          <w:rPr>
            <w:rFonts w:ascii="Calibri" w:hAnsi="Calibri" w:cs="Calibri"/>
            <w:color w:val="0000FF"/>
            <w:sz w:val="20"/>
            <w:szCs w:val="20"/>
            <w:u w:val="single"/>
          </w:rPr>
          <w:t>OPEC. World Oil Outlook 2045</w:t>
        </w:r>
      </w:hyperlink>
    </w:p>
  </w:footnote>
  <w:footnote w:id="6">
    <w:p w14:paraId="000003A0" w14:textId="77B125AA" w:rsidR="007F09CB" w:rsidRDefault="00DB28EC">
      <w:pPr>
        <w:pBdr>
          <w:top w:val="nil"/>
          <w:left w:val="nil"/>
          <w:bottom w:val="nil"/>
          <w:right w:val="nil"/>
          <w:between w:val="nil"/>
        </w:pBdr>
        <w:spacing w:after="0"/>
        <w:rPr>
          <w:rFonts w:ascii="Calibri" w:hAnsi="Calibri" w:cs="Calibri"/>
          <w:color w:val="000000"/>
          <w:sz w:val="20"/>
          <w:szCs w:val="20"/>
        </w:rPr>
      </w:pPr>
      <w:r>
        <w:rPr>
          <w:rStyle w:val="FootnoteReference"/>
        </w:rPr>
        <w:footnoteRef/>
      </w:r>
      <w:r>
        <w:rPr>
          <w:rFonts w:ascii="Calibri" w:hAnsi="Calibri" w:cs="Calibri"/>
          <w:color w:val="000000"/>
          <w:sz w:val="20"/>
          <w:szCs w:val="20"/>
        </w:rPr>
        <w:t xml:space="preserve"> </w:t>
      </w:r>
      <w:r w:rsidR="000A6E7F">
        <w:rPr>
          <w:rFonts w:ascii="Calibri" w:hAnsi="Calibri" w:cs="Calibri"/>
          <w:color w:val="000000"/>
          <w:sz w:val="20"/>
          <w:szCs w:val="20"/>
        </w:rPr>
        <w:t>i</w:t>
      </w:r>
      <w:r>
        <w:rPr>
          <w:rFonts w:ascii="Calibri" w:hAnsi="Calibri" w:cs="Calibri"/>
          <w:color w:val="000000"/>
          <w:sz w:val="20"/>
          <w:szCs w:val="20"/>
        </w:rPr>
        <w:t>bid.</w:t>
      </w:r>
    </w:p>
  </w:footnote>
  <w:footnote w:id="7">
    <w:p w14:paraId="000003A1" w14:textId="77777777" w:rsidR="007F09CB" w:rsidRPr="00CE2AF1" w:rsidRDefault="00DB28EC">
      <w:pPr>
        <w:pBdr>
          <w:top w:val="nil"/>
          <w:left w:val="nil"/>
          <w:bottom w:val="nil"/>
          <w:right w:val="nil"/>
          <w:between w:val="nil"/>
        </w:pBdr>
        <w:spacing w:after="0"/>
        <w:rPr>
          <w:rFonts w:ascii="Calibri" w:hAnsi="Calibri" w:cs="Calibri"/>
          <w:color w:val="000000"/>
          <w:sz w:val="20"/>
          <w:szCs w:val="20"/>
          <w:lang w:val="lv-LV"/>
        </w:rPr>
      </w:pPr>
      <w:r w:rsidRPr="00CE2AF1">
        <w:rPr>
          <w:rStyle w:val="FootnoteReference"/>
          <w:lang w:val="lv-LV"/>
        </w:rPr>
        <w:footnoteRef/>
      </w:r>
      <w:r w:rsidRPr="00CE2AF1">
        <w:rPr>
          <w:rFonts w:ascii="Calibri" w:hAnsi="Calibri" w:cs="Calibri"/>
          <w:color w:val="000000"/>
          <w:sz w:val="20"/>
          <w:szCs w:val="20"/>
          <w:lang w:val="lv-LV"/>
        </w:rPr>
        <w:t xml:space="preserve"> </w:t>
      </w:r>
      <w:hyperlink r:id="rId6">
        <w:r w:rsidRPr="00CE2AF1">
          <w:rPr>
            <w:rFonts w:ascii="Calibri" w:hAnsi="Calibri" w:cs="Calibri"/>
            <w:color w:val="0000FF"/>
            <w:sz w:val="20"/>
            <w:szCs w:val="20"/>
            <w:u w:val="single"/>
            <w:lang w:val="lv-LV"/>
          </w:rPr>
          <w:t>Enerģētikas likums</w:t>
        </w:r>
      </w:hyperlink>
    </w:p>
  </w:footnote>
  <w:footnote w:id="8">
    <w:p w14:paraId="000003A2" w14:textId="77777777" w:rsidR="007F09CB" w:rsidRPr="000A6E7F" w:rsidRDefault="00DB28EC">
      <w:pPr>
        <w:pBdr>
          <w:top w:val="nil"/>
          <w:left w:val="nil"/>
          <w:bottom w:val="nil"/>
          <w:right w:val="nil"/>
          <w:between w:val="nil"/>
        </w:pBdr>
        <w:spacing w:after="0"/>
        <w:rPr>
          <w:rFonts w:ascii="Calibri" w:hAnsi="Calibri" w:cs="Calibri"/>
          <w:color w:val="000000"/>
          <w:sz w:val="20"/>
          <w:szCs w:val="20"/>
          <w:lang w:val="lv-LV"/>
        </w:rPr>
      </w:pPr>
      <w:r w:rsidRPr="00CE2AF1">
        <w:rPr>
          <w:rStyle w:val="FootnoteReference"/>
          <w:lang w:val="lv-LV"/>
        </w:rPr>
        <w:footnoteRef/>
      </w:r>
      <w:r w:rsidRPr="00CE2AF1">
        <w:rPr>
          <w:rFonts w:ascii="Calibri" w:hAnsi="Calibri" w:cs="Calibri"/>
          <w:color w:val="000000"/>
          <w:sz w:val="20"/>
          <w:szCs w:val="20"/>
          <w:lang w:val="lv-LV"/>
        </w:rPr>
        <w:t xml:space="preserve"> </w:t>
      </w:r>
      <w:hyperlink r:id="rId7">
        <w:r w:rsidRPr="00CE2AF1">
          <w:rPr>
            <w:rFonts w:ascii="Calibri" w:hAnsi="Calibri" w:cs="Calibri"/>
            <w:color w:val="0000FF"/>
            <w:sz w:val="20"/>
            <w:szCs w:val="20"/>
            <w:u w:val="single"/>
            <w:lang w:val="lv-LV"/>
          </w:rPr>
          <w:t>Būvniecības valsts kontroles birojs. Naftas produktu jautājumu administrēšana</w:t>
        </w:r>
      </w:hyperlink>
    </w:p>
  </w:footnote>
  <w:footnote w:id="9">
    <w:p w14:paraId="000003A3" w14:textId="77777777" w:rsidR="007F09CB" w:rsidRPr="00CE2AF1" w:rsidRDefault="00DB28EC">
      <w:pPr>
        <w:pBdr>
          <w:top w:val="nil"/>
          <w:left w:val="nil"/>
          <w:bottom w:val="nil"/>
          <w:right w:val="nil"/>
          <w:between w:val="nil"/>
        </w:pBdr>
        <w:spacing w:after="0"/>
        <w:rPr>
          <w:rFonts w:ascii="Calibri" w:hAnsi="Calibri" w:cs="Calibri"/>
          <w:color w:val="000000"/>
          <w:sz w:val="20"/>
          <w:szCs w:val="20"/>
          <w:lang w:val="lv-LV"/>
        </w:rPr>
      </w:pPr>
      <w:r w:rsidRPr="00CE2AF1">
        <w:rPr>
          <w:rStyle w:val="FootnoteReference"/>
          <w:lang w:val="lv-LV"/>
        </w:rPr>
        <w:footnoteRef/>
      </w:r>
      <w:r w:rsidRPr="00CE2AF1">
        <w:rPr>
          <w:rFonts w:ascii="Calibri" w:hAnsi="Calibri" w:cs="Calibri"/>
          <w:color w:val="000000"/>
          <w:sz w:val="20"/>
          <w:szCs w:val="20"/>
          <w:lang w:val="lv-LV"/>
        </w:rPr>
        <w:t xml:space="preserve"> </w:t>
      </w:r>
      <w:hyperlink r:id="rId8">
        <w:r w:rsidRPr="00CE2AF1">
          <w:rPr>
            <w:rFonts w:ascii="Calibri" w:hAnsi="Calibri" w:cs="Calibri"/>
            <w:color w:val="0000FF"/>
            <w:sz w:val="20"/>
            <w:szCs w:val="20"/>
            <w:u w:val="single"/>
            <w:lang w:val="lv-LV"/>
          </w:rPr>
          <w:t>Valsts Ieņēmumu dienests. Informācija par darba vietām 2021. gadā atbilstoši profesiju klasifikatoram.</w:t>
        </w:r>
      </w:hyperlink>
      <w:r w:rsidRPr="00CE2AF1">
        <w:rPr>
          <w:rFonts w:ascii="Calibri" w:hAnsi="Calibri" w:cs="Calibri"/>
          <w:sz w:val="20"/>
          <w:szCs w:val="20"/>
          <w:lang w:val="lv-LV"/>
        </w:rPr>
        <w:t xml:space="preserve"> Salīdzinājums un korekcija veikta atbilstoši Algas.lv datiem.</w:t>
      </w:r>
    </w:p>
  </w:footnote>
  <w:footnote w:id="10">
    <w:p w14:paraId="000003A4" w14:textId="77777777" w:rsidR="007F09CB" w:rsidRPr="00CE2AF1" w:rsidRDefault="00DB28EC">
      <w:pPr>
        <w:spacing w:after="0"/>
        <w:rPr>
          <w:sz w:val="20"/>
          <w:szCs w:val="20"/>
          <w:lang w:val="lv-LV"/>
        </w:rPr>
      </w:pPr>
      <w:r>
        <w:rPr>
          <w:rStyle w:val="FootnoteReference"/>
        </w:rPr>
        <w:footnoteRef/>
      </w:r>
      <w:hyperlink r:id="rId9">
        <w:r w:rsidRPr="00CE2AF1">
          <w:rPr>
            <w:color w:val="1155CC"/>
            <w:sz w:val="20"/>
            <w:szCs w:val="20"/>
            <w:u w:val="single"/>
            <w:lang w:val="lv-LV"/>
          </w:rPr>
          <w:t xml:space="preserve"> </w:t>
        </w:r>
      </w:hyperlink>
      <w:hyperlink r:id="rId10">
        <w:r w:rsidRPr="00CE2AF1">
          <w:rPr>
            <w:rFonts w:ascii="Calibri" w:hAnsi="Calibri" w:cs="Calibri"/>
            <w:color w:val="0000FF"/>
            <w:sz w:val="20"/>
            <w:szCs w:val="20"/>
            <w:u w:val="single"/>
            <w:lang w:val="lv-LV"/>
          </w:rPr>
          <w:t>MK 2011. gada 12. aprīļa noteikumi Nr.286 “Kārtība, kādā komersanti nodrošina un sniedz drošības rezervju pakalpojumu valsts naftas produktu drošības rezervju izveidei noteiktā apjomā”</w:t>
        </w:r>
      </w:hyperlink>
    </w:p>
  </w:footnote>
  <w:footnote w:id="11">
    <w:p w14:paraId="000003A5" w14:textId="77777777" w:rsidR="007F09CB" w:rsidRDefault="00DB28EC">
      <w:pPr>
        <w:spacing w:after="0"/>
        <w:rPr>
          <w:sz w:val="20"/>
          <w:szCs w:val="20"/>
        </w:rPr>
      </w:pPr>
      <w:r>
        <w:rPr>
          <w:rStyle w:val="FootnoteReference"/>
        </w:rPr>
        <w:footnoteRef/>
      </w:r>
      <w:r>
        <w:rPr>
          <w:sz w:val="20"/>
          <w:szCs w:val="20"/>
        </w:rPr>
        <w:t xml:space="preserve"> </w:t>
      </w:r>
      <w:hyperlink r:id="rId11">
        <w:r>
          <w:rPr>
            <w:rFonts w:ascii="Calibri" w:hAnsi="Calibri" w:cs="Calibri"/>
            <w:color w:val="0000FF"/>
            <w:sz w:val="20"/>
            <w:szCs w:val="20"/>
            <w:u w:val="single"/>
          </w:rPr>
          <w:t>OPEC. World Oil Outlook 2045</w:t>
        </w:r>
      </w:hyperlink>
    </w:p>
  </w:footnote>
  <w:footnote w:id="12">
    <w:p w14:paraId="000003B3" w14:textId="77777777" w:rsidR="007F09CB" w:rsidRPr="00CB2248" w:rsidRDefault="00DB28EC">
      <w:pPr>
        <w:spacing w:after="0"/>
        <w:rPr>
          <w:sz w:val="20"/>
          <w:szCs w:val="20"/>
          <w:lang w:val="et-EE"/>
        </w:rPr>
      </w:pPr>
      <w:r>
        <w:rPr>
          <w:rStyle w:val="FootnoteReference"/>
        </w:rPr>
        <w:footnoteRef/>
      </w:r>
      <w:r>
        <w:rPr>
          <w:sz w:val="20"/>
          <w:szCs w:val="20"/>
        </w:rPr>
        <w:t xml:space="preserve"> </w:t>
      </w:r>
      <w:hyperlink r:id="rId12">
        <w:r w:rsidRPr="00CB2248">
          <w:rPr>
            <w:color w:val="1155CC"/>
            <w:sz w:val="20"/>
            <w:szCs w:val="20"/>
            <w:u w:val="single"/>
            <w:lang w:val="et-EE"/>
          </w:rPr>
          <w:t>Riigi Teataja. Vedelkütusevaru moodustamiseks ja hoidmiseks korraldatavate hangete läbiviimise põhimõtted ja vedelkütusevaruga seotud lepingute üldtingimused.</w:t>
        </w:r>
      </w:hyperlink>
    </w:p>
  </w:footnote>
  <w:footnote w:id="13">
    <w:p w14:paraId="000003B4" w14:textId="77777777" w:rsidR="007F09CB" w:rsidRPr="000A6E7F" w:rsidRDefault="00DB28EC">
      <w:pPr>
        <w:spacing w:after="0"/>
        <w:rPr>
          <w:sz w:val="20"/>
          <w:szCs w:val="20"/>
          <w:lang w:val="et-EE"/>
        </w:rPr>
      </w:pPr>
      <w:r w:rsidRPr="00CB2248">
        <w:rPr>
          <w:rStyle w:val="FootnoteReference"/>
          <w:lang w:val="et-EE"/>
        </w:rPr>
        <w:footnoteRef/>
      </w:r>
      <w:r w:rsidRPr="00CB2248">
        <w:rPr>
          <w:sz w:val="20"/>
          <w:szCs w:val="20"/>
          <w:lang w:val="et-EE"/>
        </w:rPr>
        <w:t xml:space="preserve"> </w:t>
      </w:r>
      <w:hyperlink r:id="rId13">
        <w:r w:rsidRPr="00CB2248">
          <w:rPr>
            <w:color w:val="1155CC"/>
            <w:sz w:val="20"/>
            <w:szCs w:val="20"/>
            <w:u w:val="single"/>
            <w:lang w:val="et-EE"/>
          </w:rPr>
          <w:t>Riigi Teataja. Vedelkütusevaru haldaja tegutsemispõhimõtted ning vedelkütusevaru haldaja poolt müügiks pakutava vedelkütusevaru müümise kord varustamisraskuste korral.</w:t>
        </w:r>
      </w:hyperlink>
    </w:p>
  </w:footnote>
  <w:footnote w:id="14">
    <w:p w14:paraId="000003A6" w14:textId="77777777" w:rsidR="007F09CB" w:rsidRPr="00224C1B" w:rsidRDefault="00DB28EC">
      <w:pPr>
        <w:spacing w:after="0"/>
        <w:rPr>
          <w:sz w:val="20"/>
          <w:szCs w:val="20"/>
          <w:lang w:val="lv-LV"/>
        </w:rPr>
      </w:pPr>
      <w:r w:rsidRPr="00224C1B">
        <w:rPr>
          <w:rStyle w:val="FootnoteReference"/>
          <w:lang w:val="lv-LV"/>
        </w:rPr>
        <w:footnoteRef/>
      </w:r>
      <w:r w:rsidRPr="00224C1B">
        <w:rPr>
          <w:sz w:val="20"/>
          <w:szCs w:val="20"/>
          <w:lang w:val="lv-LV"/>
        </w:rPr>
        <w:t xml:space="preserve"> </w:t>
      </w:r>
      <w:hyperlink r:id="rId14">
        <w:r w:rsidRPr="00224C1B">
          <w:rPr>
            <w:rFonts w:ascii="Calibri" w:hAnsi="Calibri" w:cs="Calibri"/>
            <w:color w:val="0000FF"/>
            <w:sz w:val="20"/>
            <w:szCs w:val="20"/>
            <w:u w:val="single"/>
            <w:lang w:val="lv-LV"/>
          </w:rPr>
          <w:t xml:space="preserve">Direktīva 2009/119/EK </w:t>
        </w:r>
      </w:hyperlink>
    </w:p>
  </w:footnote>
  <w:footnote w:id="15">
    <w:p w14:paraId="000003A7" w14:textId="77777777" w:rsidR="007F09CB" w:rsidRDefault="00DB28EC">
      <w:pPr>
        <w:spacing w:after="0"/>
        <w:rPr>
          <w:sz w:val="20"/>
          <w:szCs w:val="20"/>
        </w:rPr>
      </w:pPr>
      <w:r>
        <w:rPr>
          <w:rStyle w:val="FootnoteReference"/>
        </w:rPr>
        <w:footnoteRef/>
      </w:r>
      <w:r>
        <w:rPr>
          <w:sz w:val="20"/>
          <w:szCs w:val="20"/>
        </w:rPr>
        <w:t xml:space="preserve"> </w:t>
      </w:r>
      <w:hyperlink r:id="rId15">
        <w:r>
          <w:rPr>
            <w:rFonts w:ascii="Calibri" w:hAnsi="Calibri" w:cs="Calibri"/>
            <w:color w:val="0000FF"/>
            <w:sz w:val="20"/>
            <w:szCs w:val="20"/>
            <w:u w:val="single"/>
          </w:rPr>
          <w:t>OPEC. World Oil Outlook 2045</w:t>
        </w:r>
      </w:hyperlink>
    </w:p>
  </w:footnote>
  <w:footnote w:id="16">
    <w:p w14:paraId="000003A8" w14:textId="77777777" w:rsidR="007F09CB" w:rsidRDefault="00DB28EC">
      <w:pPr>
        <w:spacing w:after="0"/>
        <w:rPr>
          <w:sz w:val="20"/>
          <w:szCs w:val="20"/>
        </w:rPr>
      </w:pPr>
      <w:r>
        <w:rPr>
          <w:rStyle w:val="FootnoteReference"/>
        </w:rPr>
        <w:footnoteRef/>
      </w:r>
      <w:r>
        <w:rPr>
          <w:sz w:val="20"/>
          <w:szCs w:val="20"/>
        </w:rPr>
        <w:t xml:space="preserve"> ibid.</w:t>
      </w:r>
    </w:p>
  </w:footnote>
  <w:footnote w:id="17">
    <w:p w14:paraId="000003A9" w14:textId="77777777" w:rsidR="007F09CB" w:rsidRDefault="00DB28EC">
      <w:pPr>
        <w:spacing w:after="0"/>
        <w:rPr>
          <w:sz w:val="20"/>
          <w:szCs w:val="20"/>
        </w:rPr>
      </w:pPr>
      <w:r>
        <w:rPr>
          <w:rStyle w:val="FootnoteReference"/>
        </w:rPr>
        <w:footnoteRef/>
      </w:r>
      <w:r>
        <w:rPr>
          <w:sz w:val="20"/>
          <w:szCs w:val="20"/>
        </w:rPr>
        <w:t xml:space="preserve"> </w:t>
      </w:r>
      <w:hyperlink r:id="rId16" w:anchor=":~:text=War%20in%20Ukraine%20could%20result,days%20into%20the%20military%20operation.">
        <w:r>
          <w:rPr>
            <w:rFonts w:ascii="Calibri" w:hAnsi="Calibri" w:cs="Calibri"/>
            <w:color w:val="0000FF"/>
            <w:sz w:val="20"/>
            <w:szCs w:val="20"/>
            <w:u w:val="single"/>
          </w:rPr>
          <w:t>Offshore energy. Oil demand to take a severe hit if Russia’s war in Ukraine is prolonged</w:t>
        </w:r>
      </w:hyperlink>
    </w:p>
  </w:footnote>
  <w:footnote w:id="18">
    <w:p w14:paraId="000003AA" w14:textId="77777777" w:rsidR="007F09CB" w:rsidRPr="00224C1B" w:rsidRDefault="00DB28EC">
      <w:pPr>
        <w:spacing w:after="0"/>
        <w:rPr>
          <w:sz w:val="20"/>
          <w:szCs w:val="20"/>
          <w:lang w:val="lv-LV"/>
        </w:rPr>
      </w:pPr>
      <w:r w:rsidRPr="00224C1B">
        <w:rPr>
          <w:rStyle w:val="FootnoteReference"/>
          <w:lang w:val="lv-LV"/>
        </w:rPr>
        <w:footnoteRef/>
      </w:r>
      <w:r w:rsidRPr="00224C1B">
        <w:rPr>
          <w:sz w:val="20"/>
          <w:szCs w:val="20"/>
          <w:lang w:val="lv-LV"/>
        </w:rPr>
        <w:t xml:space="preserve"> </w:t>
      </w:r>
      <w:hyperlink r:id="rId17">
        <w:r w:rsidRPr="00224C1B">
          <w:rPr>
            <w:rFonts w:ascii="Calibri" w:hAnsi="Calibri" w:cs="Calibri"/>
            <w:color w:val="0000FF"/>
            <w:sz w:val="20"/>
            <w:szCs w:val="20"/>
            <w:u w:val="single"/>
            <w:lang w:val="lv-LV"/>
          </w:rPr>
          <w:t>PKN Orlen. Vairumtirdzniecības cenu arhīvs</w:t>
        </w:r>
      </w:hyperlink>
    </w:p>
  </w:footnote>
  <w:footnote w:id="19">
    <w:p w14:paraId="000003AB" w14:textId="77777777" w:rsidR="007F09CB" w:rsidRDefault="00DB28EC">
      <w:pPr>
        <w:spacing w:after="0"/>
        <w:rPr>
          <w:sz w:val="20"/>
          <w:szCs w:val="20"/>
        </w:rPr>
      </w:pPr>
      <w:r>
        <w:rPr>
          <w:rStyle w:val="FootnoteReference"/>
        </w:rPr>
        <w:footnoteRef/>
      </w:r>
      <w:r>
        <w:rPr>
          <w:sz w:val="20"/>
          <w:szCs w:val="20"/>
        </w:rPr>
        <w:t xml:space="preserve"> </w:t>
      </w:r>
      <w:hyperlink r:id="rId18">
        <w:r>
          <w:rPr>
            <w:rFonts w:ascii="Calibri" w:hAnsi="Calibri" w:cs="Calibri"/>
            <w:color w:val="0000FF"/>
            <w:sz w:val="20"/>
            <w:szCs w:val="20"/>
            <w:u w:val="single"/>
          </w:rPr>
          <w:t>Deloitte. Oil and gas price forecast 2021-2029</w:t>
        </w:r>
      </w:hyperlink>
    </w:p>
  </w:footnote>
  <w:footnote w:id="20">
    <w:p w14:paraId="000003AC" w14:textId="77777777" w:rsidR="007F09CB" w:rsidRPr="00224C1B" w:rsidRDefault="00DB28EC">
      <w:pPr>
        <w:pBdr>
          <w:top w:val="nil"/>
          <w:left w:val="nil"/>
          <w:bottom w:val="nil"/>
          <w:right w:val="nil"/>
          <w:between w:val="nil"/>
        </w:pBdr>
        <w:spacing w:after="0"/>
        <w:rPr>
          <w:rFonts w:ascii="Calibri" w:hAnsi="Calibri" w:cs="Calibri"/>
          <w:color w:val="000000"/>
          <w:sz w:val="20"/>
          <w:szCs w:val="20"/>
          <w:lang w:val="lv-LV"/>
        </w:rPr>
      </w:pPr>
      <w:r w:rsidRPr="00224C1B">
        <w:rPr>
          <w:rStyle w:val="FootnoteReference"/>
          <w:lang w:val="lv-LV"/>
        </w:rPr>
        <w:footnoteRef/>
      </w:r>
      <w:r w:rsidRPr="00224C1B">
        <w:rPr>
          <w:rFonts w:ascii="Calibri" w:hAnsi="Calibri" w:cs="Calibri"/>
          <w:color w:val="000000"/>
          <w:sz w:val="20"/>
          <w:szCs w:val="20"/>
          <w:lang w:val="lv-LV"/>
        </w:rPr>
        <w:t xml:space="preserve"> Ekonomikas ministrijas konceptuālais ziņjums “Par valsts naftas produktu drošības rezervju nodrošināšanu”</w:t>
      </w:r>
    </w:p>
  </w:footnote>
  <w:footnote w:id="21">
    <w:p w14:paraId="000003AD" w14:textId="77777777" w:rsidR="007F09CB" w:rsidRPr="00B42DAD" w:rsidRDefault="00DB28EC">
      <w:pPr>
        <w:spacing w:after="0"/>
        <w:rPr>
          <w:sz w:val="20"/>
          <w:szCs w:val="20"/>
          <w:lang w:val="lv-LV"/>
        </w:rPr>
      </w:pPr>
      <w:r w:rsidRPr="00B42DAD">
        <w:rPr>
          <w:rStyle w:val="FootnoteReference"/>
          <w:lang w:val="lv-LV"/>
        </w:rPr>
        <w:footnoteRef/>
      </w:r>
      <w:r w:rsidRPr="00B42DAD">
        <w:rPr>
          <w:sz w:val="20"/>
          <w:szCs w:val="20"/>
          <w:lang w:val="lv-LV"/>
        </w:rPr>
        <w:t xml:space="preserve"> </w:t>
      </w:r>
      <w:hyperlink r:id="rId19">
        <w:r w:rsidRPr="00B42DAD">
          <w:rPr>
            <w:rFonts w:ascii="Calibri" w:hAnsi="Calibri" w:cs="Calibri"/>
            <w:color w:val="0000FF"/>
            <w:sz w:val="20"/>
            <w:szCs w:val="20"/>
            <w:u w:val="single"/>
            <w:lang w:val="lv-LV"/>
          </w:rPr>
          <w:t>Publiskas personas kapitāla daļu un kapitālsabiedrību pārvaldības likums</w:t>
        </w:r>
      </w:hyperlink>
    </w:p>
  </w:footnote>
  <w:footnote w:id="22">
    <w:p w14:paraId="000003AE" w14:textId="77777777" w:rsidR="007F09CB" w:rsidRPr="00DF71FD" w:rsidRDefault="00DB28EC">
      <w:pPr>
        <w:spacing w:after="0"/>
        <w:rPr>
          <w:sz w:val="20"/>
          <w:szCs w:val="20"/>
          <w:lang w:val="lv-LV"/>
        </w:rPr>
      </w:pPr>
      <w:r w:rsidRPr="00DF71FD">
        <w:rPr>
          <w:rStyle w:val="FootnoteReference"/>
          <w:lang w:val="lv-LV"/>
        </w:rPr>
        <w:footnoteRef/>
      </w:r>
      <w:r w:rsidRPr="00DF71FD">
        <w:rPr>
          <w:sz w:val="20"/>
          <w:szCs w:val="20"/>
          <w:lang w:val="lv-LV"/>
        </w:rPr>
        <w:t xml:space="preserve"> </w:t>
      </w:r>
      <w:hyperlink r:id="rId20">
        <w:r w:rsidRPr="00DF71FD">
          <w:rPr>
            <w:color w:val="1155CC"/>
            <w:sz w:val="20"/>
            <w:szCs w:val="20"/>
            <w:u w:val="single"/>
            <w:lang w:val="lv-LV"/>
          </w:rPr>
          <w:t>Par valsts budžetu 2022. gadam</w:t>
        </w:r>
      </w:hyperlink>
    </w:p>
    <w:p w14:paraId="000003AF" w14:textId="77777777" w:rsidR="007F09CB" w:rsidRDefault="007F09CB">
      <w:pPr>
        <w:spacing w:after="0"/>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0" w14:textId="77777777" w:rsidR="007F09CB" w:rsidRDefault="00DB28EC">
    <w:pPr>
      <w:pBdr>
        <w:top w:val="nil"/>
        <w:left w:val="nil"/>
        <w:bottom w:val="nil"/>
        <w:right w:val="nil"/>
        <w:between w:val="nil"/>
      </w:pBdr>
      <w:tabs>
        <w:tab w:val="center" w:pos="4680"/>
        <w:tab w:val="right" w:pos="9360"/>
      </w:tabs>
      <w:spacing w:after="0"/>
      <w:rPr>
        <w:rFonts w:ascii="Calibri" w:hAnsi="Calibri" w:cs="Calibri"/>
        <w:color w:val="000000"/>
      </w:rPr>
    </w:pPr>
    <w:r>
      <w:rPr>
        <w:noProof/>
      </w:rPr>
      <w:drawing>
        <wp:anchor distT="0" distB="0" distL="114300" distR="114300" simplePos="0" relativeHeight="251658240" behindDoc="0" locked="0" layoutInCell="1" hidden="0" allowOverlap="1" wp14:anchorId="1264B5AE" wp14:editId="3C9A97B9">
          <wp:simplePos x="0" y="0"/>
          <wp:positionH relativeFrom="column">
            <wp:posOffset>5226050</wp:posOffset>
          </wp:positionH>
          <wp:positionV relativeFrom="paragraph">
            <wp:posOffset>51390</wp:posOffset>
          </wp:positionV>
          <wp:extent cx="771525" cy="161925"/>
          <wp:effectExtent l="0" t="0" r="0" b="0"/>
          <wp:wrapNone/>
          <wp:docPr id="11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771525" cy="1619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3FD9"/>
    <w:multiLevelType w:val="multilevel"/>
    <w:tmpl w:val="39804E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CD79FE"/>
    <w:multiLevelType w:val="multilevel"/>
    <w:tmpl w:val="B7FA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B7160C"/>
    <w:multiLevelType w:val="multilevel"/>
    <w:tmpl w:val="F2B6DE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CF1C8E"/>
    <w:multiLevelType w:val="multilevel"/>
    <w:tmpl w:val="4ABC8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EEC4570"/>
    <w:multiLevelType w:val="multilevel"/>
    <w:tmpl w:val="13C49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1002DD"/>
    <w:multiLevelType w:val="multilevel"/>
    <w:tmpl w:val="1FC88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6F5D33"/>
    <w:multiLevelType w:val="multilevel"/>
    <w:tmpl w:val="568803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578767D"/>
    <w:multiLevelType w:val="multilevel"/>
    <w:tmpl w:val="EB084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7DE0FD2"/>
    <w:multiLevelType w:val="multilevel"/>
    <w:tmpl w:val="58A8A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A905AE"/>
    <w:multiLevelType w:val="multilevel"/>
    <w:tmpl w:val="4E0EC99A"/>
    <w:lvl w:ilvl="0">
      <w:start w:val="1"/>
      <w:numFmt w:val="decimal"/>
      <w:lvlText w:val="%1."/>
      <w:lvlJc w:val="left"/>
      <w:pPr>
        <w:ind w:left="360" w:hanging="360"/>
      </w:pPr>
      <w:rPr>
        <w:rFonts w:ascii="Calibri" w:eastAsia="Calibri" w:hAnsi="Calibri" w:cs="Calibri"/>
        <w:b/>
        <w:color w:val="134753"/>
        <w:sz w:val="40"/>
        <w:szCs w:val="40"/>
      </w:rPr>
    </w:lvl>
    <w:lvl w:ilvl="1">
      <w:start w:val="1"/>
      <w:numFmt w:val="decimal"/>
      <w:lvlText w:val="%1.%2."/>
      <w:lvlJc w:val="left"/>
      <w:pPr>
        <w:ind w:left="792" w:hanging="432"/>
      </w:pPr>
      <w:rPr>
        <w:sz w:val="32"/>
        <w:szCs w:val="3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0F4DC1"/>
    <w:multiLevelType w:val="multilevel"/>
    <w:tmpl w:val="37B0C0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46B433AD"/>
    <w:multiLevelType w:val="multilevel"/>
    <w:tmpl w:val="83560750"/>
    <w:lvl w:ilvl="0">
      <w:start w:val="1"/>
      <w:numFmt w:val="bullet"/>
      <w:pStyle w:val="CVRelevantXPPre-Civitt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C5E06C6"/>
    <w:multiLevelType w:val="multilevel"/>
    <w:tmpl w:val="1D522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17D5CE6"/>
    <w:multiLevelType w:val="multilevel"/>
    <w:tmpl w:val="689453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37616B4"/>
    <w:multiLevelType w:val="multilevel"/>
    <w:tmpl w:val="6FCEA17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15" w15:restartNumberingAfterBreak="0">
    <w:nsid w:val="56BA54FD"/>
    <w:multiLevelType w:val="multilevel"/>
    <w:tmpl w:val="61520B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AAA7541"/>
    <w:multiLevelType w:val="multilevel"/>
    <w:tmpl w:val="1D2CA586"/>
    <w:lvl w:ilvl="0">
      <w:start w:val="1"/>
      <w:numFmt w:val="bullet"/>
      <w:pStyle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2B46FB"/>
    <w:multiLevelType w:val="multilevel"/>
    <w:tmpl w:val="BDAE45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FBC00DE"/>
    <w:multiLevelType w:val="multilevel"/>
    <w:tmpl w:val="08DE75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FCB30AD"/>
    <w:multiLevelType w:val="multilevel"/>
    <w:tmpl w:val="2FB6D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C0A0D00"/>
    <w:multiLevelType w:val="multilevel"/>
    <w:tmpl w:val="D512A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DF0594D"/>
    <w:multiLevelType w:val="multilevel"/>
    <w:tmpl w:val="333875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58D64C6"/>
    <w:multiLevelType w:val="multilevel"/>
    <w:tmpl w:val="9B64C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AE447A4"/>
    <w:multiLevelType w:val="multilevel"/>
    <w:tmpl w:val="2DFC7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CA05ADB"/>
    <w:multiLevelType w:val="multilevel"/>
    <w:tmpl w:val="8558E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5"/>
  </w:num>
  <w:num w:numId="2">
    <w:abstractNumId w:val="16"/>
  </w:num>
  <w:num w:numId="3">
    <w:abstractNumId w:val="11"/>
  </w:num>
  <w:num w:numId="4">
    <w:abstractNumId w:val="24"/>
  </w:num>
  <w:num w:numId="5">
    <w:abstractNumId w:val="7"/>
  </w:num>
  <w:num w:numId="6">
    <w:abstractNumId w:val="17"/>
  </w:num>
  <w:num w:numId="7">
    <w:abstractNumId w:val="19"/>
  </w:num>
  <w:num w:numId="8">
    <w:abstractNumId w:val="9"/>
  </w:num>
  <w:num w:numId="9">
    <w:abstractNumId w:val="20"/>
  </w:num>
  <w:num w:numId="10">
    <w:abstractNumId w:val="14"/>
  </w:num>
  <w:num w:numId="11">
    <w:abstractNumId w:val="2"/>
  </w:num>
  <w:num w:numId="12">
    <w:abstractNumId w:val="13"/>
  </w:num>
  <w:num w:numId="13">
    <w:abstractNumId w:val="0"/>
  </w:num>
  <w:num w:numId="14">
    <w:abstractNumId w:val="18"/>
  </w:num>
  <w:num w:numId="15">
    <w:abstractNumId w:val="4"/>
  </w:num>
  <w:num w:numId="16">
    <w:abstractNumId w:val="5"/>
  </w:num>
  <w:num w:numId="17">
    <w:abstractNumId w:val="23"/>
  </w:num>
  <w:num w:numId="18">
    <w:abstractNumId w:val="1"/>
  </w:num>
  <w:num w:numId="19">
    <w:abstractNumId w:val="3"/>
  </w:num>
  <w:num w:numId="20">
    <w:abstractNumId w:val="6"/>
  </w:num>
  <w:num w:numId="21">
    <w:abstractNumId w:val="21"/>
  </w:num>
  <w:num w:numId="22">
    <w:abstractNumId w:val="12"/>
  </w:num>
  <w:num w:numId="23">
    <w:abstractNumId w:val="22"/>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I2MTIztDS1NDQzMrdU0lEKTi0uzszPAykwrQUAC7YdwywAAAA="/>
  </w:docVars>
  <w:rsids>
    <w:rsidRoot w:val="007F09CB"/>
    <w:rsid w:val="000A6E7F"/>
    <w:rsid w:val="0011743F"/>
    <w:rsid w:val="0018402F"/>
    <w:rsid w:val="00224C1B"/>
    <w:rsid w:val="00313893"/>
    <w:rsid w:val="00407B42"/>
    <w:rsid w:val="0053072A"/>
    <w:rsid w:val="00557273"/>
    <w:rsid w:val="006337EC"/>
    <w:rsid w:val="006A5E49"/>
    <w:rsid w:val="00793C18"/>
    <w:rsid w:val="007E350C"/>
    <w:rsid w:val="007F09CB"/>
    <w:rsid w:val="0086213B"/>
    <w:rsid w:val="00A651B2"/>
    <w:rsid w:val="00B415EA"/>
    <w:rsid w:val="00B42DAD"/>
    <w:rsid w:val="00BB5C81"/>
    <w:rsid w:val="00BE1865"/>
    <w:rsid w:val="00C27F25"/>
    <w:rsid w:val="00CB2248"/>
    <w:rsid w:val="00CE2AF1"/>
    <w:rsid w:val="00D53B09"/>
    <w:rsid w:val="00DB28EC"/>
    <w:rsid w:val="00DF71FD"/>
    <w:rsid w:val="00EA42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E442"/>
  <w15:docId w15:val="{90918433-120B-4BB7-9B8B-41C28820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C8E"/>
    <w:rPr>
      <w:rFonts w:asciiTheme="minorHAnsi" w:hAnsiTheme="minorHAnsi" w:cs="Cambria"/>
      <w:bCs/>
      <w:lang w:val="en-US" w:eastAsia="ja-JP"/>
    </w:rPr>
  </w:style>
  <w:style w:type="paragraph" w:styleId="Heading1">
    <w:name w:val="heading 1"/>
    <w:basedOn w:val="Normal"/>
    <w:next w:val="Normal"/>
    <w:link w:val="Heading1Char"/>
    <w:uiPriority w:val="9"/>
    <w:qFormat/>
    <w:rsid w:val="003B2ABD"/>
    <w:pPr>
      <w:keepNext/>
      <w:spacing w:after="600"/>
      <w:jc w:val="left"/>
      <w:outlineLvl w:val="0"/>
    </w:pPr>
    <w:rPr>
      <w:b/>
      <w:bCs w:val="0"/>
      <w:caps/>
      <w:color w:val="134753" w:themeColor="accent1"/>
      <w:sz w:val="40"/>
      <w:szCs w:val="40"/>
      <w:lang w:val="en-GB"/>
    </w:rPr>
  </w:style>
  <w:style w:type="paragraph" w:styleId="Heading2">
    <w:name w:val="heading 2"/>
    <w:basedOn w:val="Normal"/>
    <w:next w:val="Normal"/>
    <w:link w:val="Heading2Char"/>
    <w:uiPriority w:val="9"/>
    <w:unhideWhenUsed/>
    <w:qFormat/>
    <w:rsid w:val="003B2ABD"/>
    <w:pPr>
      <w:keepNext/>
      <w:spacing w:before="360" w:after="240"/>
      <w:outlineLvl w:val="1"/>
    </w:pPr>
    <w:rPr>
      <w:bCs w:val="0"/>
      <w:caps/>
      <w:color w:val="00ABC0" w:themeColor="accent2"/>
      <w:sz w:val="32"/>
      <w:szCs w:val="32"/>
      <w:lang w:val="en-GB"/>
    </w:rPr>
  </w:style>
  <w:style w:type="paragraph" w:styleId="Heading3">
    <w:name w:val="heading 3"/>
    <w:basedOn w:val="Normal"/>
    <w:next w:val="Normal"/>
    <w:link w:val="Heading3Char"/>
    <w:uiPriority w:val="9"/>
    <w:unhideWhenUsed/>
    <w:qFormat/>
    <w:rsid w:val="003B2ABD"/>
    <w:pPr>
      <w:keepNext/>
      <w:spacing w:before="180" w:after="180"/>
      <w:outlineLvl w:val="2"/>
    </w:pPr>
    <w:rPr>
      <w:bCs w:val="0"/>
      <w:caps/>
      <w:color w:val="00ABC0" w:themeColor="accent2"/>
      <w:sz w:val="24"/>
    </w:rPr>
  </w:style>
  <w:style w:type="paragraph" w:styleId="Heading4">
    <w:name w:val="heading 4"/>
    <w:basedOn w:val="Normal"/>
    <w:next w:val="Normal"/>
    <w:link w:val="Heading4Char"/>
    <w:uiPriority w:val="9"/>
    <w:semiHidden/>
    <w:unhideWhenUsed/>
    <w:qFormat/>
    <w:rsid w:val="00173281"/>
    <w:pPr>
      <w:keepNext/>
      <w:keepLines/>
      <w:spacing w:before="40" w:after="0"/>
      <w:outlineLvl w:val="3"/>
    </w:pPr>
    <w:rPr>
      <w:rFonts w:eastAsiaTheme="majorEastAsia" w:cstheme="majorBidi"/>
      <w:iCs/>
      <w:color w:val="134753"/>
      <w:sz w:val="24"/>
      <w:szCs w:val="24"/>
    </w:rPr>
  </w:style>
  <w:style w:type="paragraph" w:styleId="Heading5">
    <w:name w:val="heading 5"/>
    <w:basedOn w:val="Normal"/>
    <w:next w:val="Normal"/>
    <w:link w:val="Heading5Char"/>
    <w:uiPriority w:val="9"/>
    <w:semiHidden/>
    <w:unhideWhenUsed/>
    <w:qFormat/>
    <w:rsid w:val="002C72DE"/>
    <w:pPr>
      <w:keepNext/>
      <w:keepLines/>
      <w:spacing w:before="40" w:after="0"/>
      <w:outlineLvl w:val="4"/>
    </w:pPr>
    <w:rPr>
      <w:rFonts w:eastAsiaTheme="majorEastAsia" w:cstheme="majorBidi"/>
      <w:color w:val="0E353E" w:themeColor="accent1" w:themeShade="BF"/>
    </w:rPr>
  </w:style>
  <w:style w:type="paragraph" w:styleId="Heading6">
    <w:name w:val="heading 6"/>
    <w:basedOn w:val="Normal"/>
    <w:next w:val="Normal"/>
    <w:link w:val="Heading6Char"/>
    <w:uiPriority w:val="9"/>
    <w:semiHidden/>
    <w:unhideWhenUsed/>
    <w:qFormat/>
    <w:rsid w:val="00452CE0"/>
    <w:pPr>
      <w:keepNext/>
      <w:keepLines/>
      <w:spacing w:before="40" w:after="0"/>
      <w:outlineLvl w:val="5"/>
    </w:pPr>
    <w:rPr>
      <w:rFonts w:eastAsiaTheme="majorEastAsia" w:cstheme="majorBidi"/>
      <w:color w:val="092329" w:themeColor="accent1" w:themeShade="7F"/>
    </w:rPr>
  </w:style>
  <w:style w:type="paragraph" w:styleId="Heading7">
    <w:name w:val="heading 7"/>
    <w:basedOn w:val="Normal"/>
    <w:next w:val="Normal"/>
    <w:link w:val="Heading7Char"/>
    <w:semiHidden/>
    <w:unhideWhenUsed/>
    <w:locked/>
    <w:rsid w:val="00224D5D"/>
    <w:pPr>
      <w:keepNext/>
      <w:keepLines/>
      <w:spacing w:before="40" w:after="0"/>
      <w:outlineLvl w:val="6"/>
    </w:pPr>
    <w:rPr>
      <w:rFonts w:eastAsiaTheme="majorEastAsia" w:cstheme="majorBidi"/>
      <w:i/>
      <w:iCs/>
      <w:color w:val="0923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C4874"/>
    <w:rPr>
      <w:rFonts w:cstheme="minorHAnsi"/>
      <w:b/>
      <w:color w:val="FFFFFF" w:themeColor="background1"/>
      <w:sz w:val="44"/>
      <w:szCs w:val="44"/>
    </w:rPr>
  </w:style>
  <w:style w:type="table" w:customStyle="1" w:styleId="TableNormal1">
    <w:name w:val="Table Normal1"/>
    <w:tblPr>
      <w:tblCellMar>
        <w:top w:w="0" w:type="dxa"/>
        <w:left w:w="0" w:type="dxa"/>
        <w:bottom w:w="0" w:type="dxa"/>
        <w:right w:w="0" w:type="dxa"/>
      </w:tblCellMar>
    </w:tblPr>
  </w:style>
  <w:style w:type="character" w:customStyle="1" w:styleId="Heading1Char">
    <w:name w:val="Heading 1 Char"/>
    <w:basedOn w:val="DefaultParagraphFont"/>
    <w:link w:val="Heading1"/>
    <w:uiPriority w:val="99"/>
    <w:locked/>
    <w:rsid w:val="003B2ABD"/>
    <w:rPr>
      <w:rFonts w:asciiTheme="minorHAnsi" w:hAnsiTheme="minorHAnsi" w:cs="Cambria"/>
      <w:b/>
      <w:caps/>
      <w:color w:val="134753" w:themeColor="accent1"/>
      <w:sz w:val="40"/>
      <w:szCs w:val="40"/>
      <w:lang w:val="en-GB" w:eastAsia="ja-JP"/>
    </w:rPr>
  </w:style>
  <w:style w:type="paragraph" w:styleId="ListParagraph">
    <w:name w:val="List Paragraph"/>
    <w:aliases w:val="Numbered List,ERP-List Paragraph,List Paragraph11,Bullet EY,List Paragraph1"/>
    <w:basedOn w:val="Normal"/>
    <w:link w:val="ListParagraphChar"/>
    <w:uiPriority w:val="34"/>
    <w:qFormat/>
    <w:rsid w:val="002F5C67"/>
    <w:pPr>
      <w:ind w:left="720"/>
      <w:contextualSpacing/>
    </w:pPr>
  </w:style>
  <w:style w:type="character" w:customStyle="1" w:styleId="Heading2Char">
    <w:name w:val="Heading 2 Char"/>
    <w:basedOn w:val="DefaultParagraphFont"/>
    <w:link w:val="Heading2"/>
    <w:uiPriority w:val="99"/>
    <w:locked/>
    <w:rsid w:val="003B2ABD"/>
    <w:rPr>
      <w:rFonts w:asciiTheme="minorHAnsi" w:hAnsiTheme="minorHAnsi" w:cs="Cambria"/>
      <w:caps/>
      <w:color w:val="00ABC0" w:themeColor="accent2"/>
      <w:sz w:val="32"/>
      <w:szCs w:val="32"/>
      <w:lang w:val="en-GB" w:eastAsia="ja-JP"/>
    </w:rPr>
  </w:style>
  <w:style w:type="character" w:customStyle="1" w:styleId="Heading3Char">
    <w:name w:val="Heading 3 Char"/>
    <w:basedOn w:val="DefaultParagraphFont"/>
    <w:link w:val="Heading3"/>
    <w:uiPriority w:val="99"/>
    <w:locked/>
    <w:rsid w:val="003B2ABD"/>
    <w:rPr>
      <w:rFonts w:asciiTheme="minorHAnsi" w:hAnsiTheme="minorHAnsi" w:cs="Cambria"/>
      <w:caps/>
      <w:color w:val="00ABC0" w:themeColor="accent2"/>
      <w:sz w:val="24"/>
      <w:lang w:val="en-US" w:eastAsia="ja-JP"/>
    </w:rPr>
  </w:style>
  <w:style w:type="character" w:customStyle="1" w:styleId="Heading4Char">
    <w:name w:val="Heading 4 Char"/>
    <w:basedOn w:val="DefaultParagraphFont"/>
    <w:link w:val="Heading4"/>
    <w:rsid w:val="00452CE0"/>
    <w:rPr>
      <w:rFonts w:asciiTheme="minorHAnsi" w:eastAsiaTheme="majorEastAsia" w:hAnsiTheme="minorHAnsi" w:cstheme="majorBidi"/>
      <w:bCs/>
      <w:iCs/>
      <w:color w:val="134753"/>
      <w:sz w:val="24"/>
      <w:szCs w:val="24"/>
      <w:lang w:val="en-US" w:eastAsia="ja-JP"/>
    </w:rPr>
  </w:style>
  <w:style w:type="paragraph" w:styleId="Header">
    <w:name w:val="header"/>
    <w:basedOn w:val="Normal"/>
    <w:link w:val="HeaderChar"/>
    <w:uiPriority w:val="99"/>
    <w:rsid w:val="003D3F8F"/>
    <w:pPr>
      <w:tabs>
        <w:tab w:val="center" w:pos="4680"/>
        <w:tab w:val="right" w:pos="9360"/>
      </w:tabs>
      <w:spacing w:after="0"/>
    </w:pPr>
  </w:style>
  <w:style w:type="character" w:customStyle="1" w:styleId="HeaderChar">
    <w:name w:val="Header Char"/>
    <w:basedOn w:val="DefaultParagraphFont"/>
    <w:link w:val="Header"/>
    <w:uiPriority w:val="99"/>
    <w:locked/>
    <w:rsid w:val="003D3F8F"/>
  </w:style>
  <w:style w:type="paragraph" w:styleId="Footer">
    <w:name w:val="footer"/>
    <w:basedOn w:val="Normal"/>
    <w:link w:val="FooterChar"/>
    <w:uiPriority w:val="99"/>
    <w:rsid w:val="003D3F8F"/>
    <w:pPr>
      <w:tabs>
        <w:tab w:val="center" w:pos="4680"/>
        <w:tab w:val="right" w:pos="9360"/>
      </w:tabs>
      <w:spacing w:after="0"/>
    </w:pPr>
  </w:style>
  <w:style w:type="character" w:customStyle="1" w:styleId="FooterChar">
    <w:name w:val="Footer Char"/>
    <w:basedOn w:val="DefaultParagraphFont"/>
    <w:link w:val="Footer"/>
    <w:uiPriority w:val="99"/>
    <w:locked/>
    <w:rsid w:val="003D3F8F"/>
  </w:style>
  <w:style w:type="paragraph" w:styleId="BalloonText">
    <w:name w:val="Balloon Text"/>
    <w:basedOn w:val="Normal"/>
    <w:link w:val="BalloonTextChar"/>
    <w:uiPriority w:val="99"/>
    <w:semiHidden/>
    <w:rsid w:val="003D3F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3F8F"/>
    <w:rPr>
      <w:rFonts w:ascii="Tahoma" w:hAnsi="Tahoma" w:cs="Tahoma"/>
      <w:sz w:val="16"/>
      <w:szCs w:val="16"/>
    </w:rPr>
  </w:style>
  <w:style w:type="character" w:styleId="Hyperlink">
    <w:name w:val="Hyperlink"/>
    <w:basedOn w:val="DefaultParagraphFont"/>
    <w:uiPriority w:val="99"/>
    <w:rsid w:val="0030197D"/>
    <w:rPr>
      <w:rFonts w:asciiTheme="minorHAnsi" w:hAnsiTheme="minorHAnsi"/>
      <w:color w:val="0000FF"/>
      <w:sz w:val="22"/>
      <w:u w:val="single"/>
    </w:rPr>
  </w:style>
  <w:style w:type="paragraph" w:styleId="FootnoteText">
    <w:name w:val="footnote text"/>
    <w:basedOn w:val="Normal"/>
    <w:link w:val="FootnoteTextChar"/>
    <w:uiPriority w:val="99"/>
    <w:rsid w:val="00711240"/>
    <w:pPr>
      <w:spacing w:after="0"/>
    </w:pPr>
    <w:rPr>
      <w:sz w:val="20"/>
      <w:szCs w:val="20"/>
    </w:rPr>
  </w:style>
  <w:style w:type="character" w:customStyle="1" w:styleId="FootnoteTextChar">
    <w:name w:val="Footnote Text Char"/>
    <w:basedOn w:val="DefaultParagraphFont"/>
    <w:link w:val="FootnoteText"/>
    <w:uiPriority w:val="99"/>
    <w:locked/>
    <w:rsid w:val="00711240"/>
    <w:rPr>
      <w:rFonts w:asciiTheme="minorHAnsi" w:hAnsiTheme="minorHAnsi" w:cs="Cambria"/>
      <w:bCs/>
      <w:sz w:val="20"/>
      <w:szCs w:val="20"/>
      <w:lang w:val="en-US" w:eastAsia="ja-JP"/>
    </w:rPr>
  </w:style>
  <w:style w:type="character" w:styleId="FootnoteReference">
    <w:name w:val="footnote reference"/>
    <w:basedOn w:val="DefaultParagraphFont"/>
    <w:uiPriority w:val="99"/>
    <w:rsid w:val="00AD4FEF"/>
    <w:rPr>
      <w:vertAlign w:val="superscript"/>
    </w:rPr>
  </w:style>
  <w:style w:type="paragraph" w:styleId="Caption">
    <w:name w:val="caption"/>
    <w:aliases w:val="Top caption"/>
    <w:basedOn w:val="Normal"/>
    <w:next w:val="Normal"/>
    <w:uiPriority w:val="35"/>
    <w:qFormat/>
    <w:rsid w:val="002C72DE"/>
    <w:pPr>
      <w:keepNext/>
      <w:framePr w:w="9356" w:wrap="around" w:vAnchor="text" w:hAnchor="text" w:y="1"/>
      <w:spacing w:before="240"/>
      <w:jc w:val="left"/>
    </w:pPr>
    <w:rPr>
      <w:b/>
      <w:bCs w:val="0"/>
      <w:caps/>
      <w:color w:val="134753" w:themeColor="accent1"/>
      <w:sz w:val="20"/>
      <w:szCs w:val="20"/>
    </w:rPr>
  </w:style>
  <w:style w:type="paragraph" w:styleId="TOC1">
    <w:name w:val="toc 1"/>
    <w:basedOn w:val="Normal"/>
    <w:next w:val="Normal"/>
    <w:autoRedefine/>
    <w:uiPriority w:val="39"/>
    <w:rsid w:val="006549D0"/>
    <w:pPr>
      <w:tabs>
        <w:tab w:val="left" w:pos="390"/>
        <w:tab w:val="right" w:leader="dot" w:pos="9435"/>
      </w:tabs>
      <w:jc w:val="left"/>
    </w:pPr>
    <w:rPr>
      <w:b/>
      <w:bCs w:val="0"/>
      <w:smallCaps/>
      <w:noProof/>
      <w:color w:val="00ABC0" w:themeColor="accent2"/>
    </w:rPr>
  </w:style>
  <w:style w:type="paragraph" w:styleId="TOC2">
    <w:name w:val="toc 2"/>
    <w:basedOn w:val="Normal"/>
    <w:next w:val="Normal"/>
    <w:autoRedefine/>
    <w:uiPriority w:val="39"/>
    <w:rsid w:val="002E1DE8"/>
    <w:pPr>
      <w:jc w:val="left"/>
    </w:pPr>
  </w:style>
  <w:style w:type="character" w:styleId="CommentReference">
    <w:name w:val="annotation reference"/>
    <w:basedOn w:val="DefaultParagraphFont"/>
    <w:uiPriority w:val="99"/>
    <w:semiHidden/>
    <w:rsid w:val="00C45CCD"/>
    <w:rPr>
      <w:sz w:val="16"/>
      <w:szCs w:val="16"/>
    </w:rPr>
  </w:style>
  <w:style w:type="paragraph" w:styleId="CommentText">
    <w:name w:val="annotation text"/>
    <w:basedOn w:val="Normal"/>
    <w:link w:val="CommentTextChar"/>
    <w:uiPriority w:val="99"/>
    <w:semiHidden/>
    <w:rsid w:val="00C45CCD"/>
    <w:rPr>
      <w:sz w:val="20"/>
      <w:szCs w:val="20"/>
    </w:rPr>
  </w:style>
  <w:style w:type="character" w:customStyle="1" w:styleId="CommentTextChar">
    <w:name w:val="Comment Text Char"/>
    <w:basedOn w:val="DefaultParagraphFont"/>
    <w:link w:val="CommentText"/>
    <w:uiPriority w:val="99"/>
    <w:locked/>
    <w:rsid w:val="00C45CCD"/>
    <w:rPr>
      <w:rFonts w:eastAsia="SimSun"/>
      <w:sz w:val="20"/>
      <w:szCs w:val="20"/>
      <w:lang w:val="lt-LT" w:eastAsia="zh-CN"/>
    </w:rPr>
  </w:style>
  <w:style w:type="paragraph" w:styleId="CommentSubject">
    <w:name w:val="annotation subject"/>
    <w:basedOn w:val="CommentText"/>
    <w:next w:val="CommentText"/>
    <w:link w:val="CommentSubjectChar"/>
    <w:uiPriority w:val="99"/>
    <w:semiHidden/>
    <w:rsid w:val="006A13A3"/>
    <w:rPr>
      <w:b/>
      <w:bCs w:val="0"/>
      <w:lang w:eastAsia="en-US"/>
    </w:rPr>
  </w:style>
  <w:style w:type="character" w:customStyle="1" w:styleId="CommentSubjectChar">
    <w:name w:val="Comment Subject Char"/>
    <w:basedOn w:val="CommentTextChar"/>
    <w:link w:val="CommentSubject"/>
    <w:uiPriority w:val="99"/>
    <w:semiHidden/>
    <w:locked/>
    <w:rsid w:val="006A13A3"/>
    <w:rPr>
      <w:rFonts w:eastAsia="SimSun"/>
      <w:b/>
      <w:bCs/>
      <w:sz w:val="20"/>
      <w:szCs w:val="20"/>
      <w:lang w:val="lt-LT" w:eastAsia="zh-CN"/>
    </w:rPr>
  </w:style>
  <w:style w:type="paragraph" w:styleId="TOC3">
    <w:name w:val="toc 3"/>
    <w:basedOn w:val="Normal"/>
    <w:next w:val="Normal"/>
    <w:link w:val="TOC3Char"/>
    <w:autoRedefine/>
    <w:uiPriority w:val="39"/>
    <w:rsid w:val="007A0339"/>
    <w:pPr>
      <w:ind w:left="144"/>
      <w:jc w:val="left"/>
    </w:pPr>
  </w:style>
  <w:style w:type="character" w:customStyle="1" w:styleId="TOC3Char">
    <w:name w:val="TOC 3 Char"/>
    <w:basedOn w:val="DefaultParagraphFont"/>
    <w:link w:val="TOC3"/>
    <w:uiPriority w:val="39"/>
    <w:locked/>
    <w:rsid w:val="007A0339"/>
    <w:rPr>
      <w:rFonts w:ascii="Avenir Next Regular" w:hAnsi="Avenir Next Regular" w:cs="Cambria"/>
      <w:lang w:eastAsia="ja-JP"/>
    </w:rPr>
  </w:style>
  <w:style w:type="paragraph" w:styleId="TOCHeading">
    <w:name w:val="TOC Heading"/>
    <w:aliases w:val="Table of Contents"/>
    <w:basedOn w:val="Heading1"/>
    <w:next w:val="Normal"/>
    <w:uiPriority w:val="39"/>
    <w:qFormat/>
    <w:rsid w:val="00D0337E"/>
    <w:pPr>
      <w:keepLines/>
      <w:outlineLvl w:val="9"/>
    </w:pPr>
    <w:rPr>
      <w:szCs w:val="28"/>
    </w:rPr>
  </w:style>
  <w:style w:type="table" w:styleId="TableGrid">
    <w:name w:val="Table Grid"/>
    <w:basedOn w:val="TableNormal"/>
    <w:uiPriority w:val="59"/>
    <w:rsid w:val="007C60E4"/>
    <w:rPr>
      <w:rFonts w:ascii="Avenir Next Demi Bold" w:hAnsi="Avenir Next Demi Bol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99"/>
    <w:locked/>
    <w:rsid w:val="003C4874"/>
    <w:rPr>
      <w:rFonts w:asciiTheme="minorHAnsi" w:hAnsiTheme="minorHAnsi" w:cstheme="minorHAnsi"/>
      <w:b/>
      <w:bCs/>
      <w:color w:val="FFFFFF" w:themeColor="background1"/>
      <w:sz w:val="44"/>
      <w:szCs w:val="44"/>
      <w:lang w:val="en-US" w:eastAsia="ja-JP"/>
    </w:rPr>
  </w:style>
  <w:style w:type="paragraph" w:styleId="Subtitle">
    <w:name w:val="Subtitle"/>
    <w:basedOn w:val="Normal"/>
    <w:next w:val="Normal"/>
    <w:link w:val="SubtitleChar"/>
    <w:uiPriority w:val="11"/>
    <w:qFormat/>
    <w:pPr>
      <w:ind w:right="556"/>
      <w:jc w:val="center"/>
    </w:pPr>
    <w:rPr>
      <w:color w:val="FFFFFF"/>
      <w:sz w:val="36"/>
      <w:szCs w:val="36"/>
    </w:rPr>
  </w:style>
  <w:style w:type="character" w:customStyle="1" w:styleId="SubtitleChar">
    <w:name w:val="Subtitle Char"/>
    <w:basedOn w:val="DefaultParagraphFont"/>
    <w:link w:val="Subtitle"/>
    <w:uiPriority w:val="99"/>
    <w:locked/>
    <w:rsid w:val="007B7F31"/>
    <w:rPr>
      <w:rFonts w:asciiTheme="minorHAnsi" w:hAnsiTheme="minorHAnsi" w:cs="Cambria"/>
      <w:bCs/>
      <w:color w:val="FFFFFF" w:themeColor="background1"/>
      <w:sz w:val="36"/>
      <w:szCs w:val="36"/>
      <w:lang w:val="en-US" w:eastAsia="ja-JP"/>
    </w:rPr>
  </w:style>
  <w:style w:type="character" w:styleId="Emphasis">
    <w:name w:val="Emphasis"/>
    <w:aliases w:val="Keywords"/>
    <w:basedOn w:val="DefaultParagraphFont"/>
    <w:uiPriority w:val="20"/>
    <w:qFormat/>
    <w:rsid w:val="002E655B"/>
    <w:rPr>
      <w:rFonts w:asciiTheme="minorHAnsi" w:hAnsiTheme="minorHAnsi"/>
      <w:color w:val="808080" w:themeColor="background1" w:themeShade="80"/>
      <w:sz w:val="22"/>
    </w:rPr>
  </w:style>
  <w:style w:type="paragraph" w:styleId="Quote">
    <w:name w:val="Quote"/>
    <w:aliases w:val="Contact information"/>
    <w:basedOn w:val="Normal"/>
    <w:next w:val="Normal"/>
    <w:link w:val="QuoteChar"/>
    <w:uiPriority w:val="99"/>
    <w:rsid w:val="00C31659"/>
    <w:pPr>
      <w:spacing w:after="0"/>
      <w:jc w:val="left"/>
    </w:pPr>
    <w:rPr>
      <w:iCs/>
      <w:color w:val="FFFFFF" w:themeColor="background1"/>
    </w:rPr>
  </w:style>
  <w:style w:type="character" w:customStyle="1" w:styleId="QuoteChar">
    <w:name w:val="Quote Char"/>
    <w:aliases w:val="Contact information Char"/>
    <w:basedOn w:val="DefaultParagraphFont"/>
    <w:link w:val="Quote"/>
    <w:uiPriority w:val="99"/>
    <w:locked/>
    <w:rsid w:val="00C31659"/>
    <w:rPr>
      <w:rFonts w:ascii="Avenir Next Regular" w:hAnsi="Avenir Next Regular" w:cs="Cambria"/>
      <w:iCs/>
      <w:color w:val="FFFFFF" w:themeColor="background1"/>
      <w:lang w:eastAsia="ja-JP"/>
    </w:rPr>
  </w:style>
  <w:style w:type="table" w:styleId="TableGridLight">
    <w:name w:val="Grid Table Light"/>
    <w:basedOn w:val="TableNormal"/>
    <w:uiPriority w:val="40"/>
    <w:rsid w:val="009508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99"/>
    <w:rsid w:val="00023842"/>
  </w:style>
  <w:style w:type="character" w:styleId="Strong">
    <w:name w:val="Strong"/>
    <w:aliases w:val="Bold"/>
    <w:basedOn w:val="DefaultParagraphFont"/>
    <w:uiPriority w:val="22"/>
    <w:qFormat/>
    <w:rsid w:val="00F55416"/>
    <w:rPr>
      <w:b/>
      <w:bCs/>
      <w:color w:val="134753"/>
    </w:rPr>
  </w:style>
  <w:style w:type="table" w:customStyle="1" w:styleId="Civittatable">
    <w:name w:val="Civitta table"/>
    <w:basedOn w:val="TableNormal"/>
    <w:uiPriority w:val="99"/>
    <w:rsid w:val="00002D00"/>
    <w:pPr>
      <w:spacing w:before="60" w:after="60"/>
    </w:pPr>
    <w:rPr>
      <w:sz w:val="20"/>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FFFFF" w:themeColor="background1"/>
        <w:sz w:val="20"/>
      </w:rPr>
      <w:tblPr/>
      <w:tcPr>
        <w:shd w:val="clear" w:color="auto" w:fill="134753" w:themeFill="accent1"/>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OC4">
    <w:name w:val="toc 4"/>
    <w:basedOn w:val="Normal"/>
    <w:next w:val="Normal"/>
    <w:autoRedefine/>
    <w:uiPriority w:val="99"/>
    <w:semiHidden/>
    <w:rsid w:val="008B12B6"/>
    <w:pPr>
      <w:spacing w:after="0"/>
      <w:jc w:val="left"/>
    </w:pPr>
    <w:rPr>
      <w:rFonts w:ascii="Calibri" w:hAnsi="Calibri" w:cs="Calibri"/>
    </w:rPr>
  </w:style>
  <w:style w:type="paragraph" w:styleId="TOC5">
    <w:name w:val="toc 5"/>
    <w:basedOn w:val="Normal"/>
    <w:next w:val="Normal"/>
    <w:autoRedefine/>
    <w:uiPriority w:val="99"/>
    <w:semiHidden/>
    <w:rsid w:val="00042B1F"/>
    <w:pPr>
      <w:spacing w:after="0"/>
      <w:jc w:val="left"/>
    </w:pPr>
    <w:rPr>
      <w:rFonts w:ascii="Calibri" w:hAnsi="Calibri" w:cs="Calibri"/>
    </w:rPr>
  </w:style>
  <w:style w:type="paragraph" w:styleId="TOC6">
    <w:name w:val="toc 6"/>
    <w:basedOn w:val="Normal"/>
    <w:next w:val="Normal"/>
    <w:autoRedefine/>
    <w:uiPriority w:val="99"/>
    <w:semiHidden/>
    <w:rsid w:val="00042B1F"/>
    <w:pPr>
      <w:spacing w:after="0"/>
      <w:jc w:val="left"/>
    </w:pPr>
    <w:rPr>
      <w:rFonts w:ascii="Calibri" w:hAnsi="Calibri" w:cs="Calibri"/>
    </w:rPr>
  </w:style>
  <w:style w:type="paragraph" w:styleId="TOC7">
    <w:name w:val="toc 7"/>
    <w:basedOn w:val="Normal"/>
    <w:next w:val="Normal"/>
    <w:autoRedefine/>
    <w:uiPriority w:val="99"/>
    <w:semiHidden/>
    <w:rsid w:val="00042B1F"/>
    <w:pPr>
      <w:spacing w:after="0"/>
      <w:jc w:val="left"/>
    </w:pPr>
    <w:rPr>
      <w:rFonts w:ascii="Calibri" w:hAnsi="Calibri" w:cs="Calibri"/>
    </w:rPr>
  </w:style>
  <w:style w:type="paragraph" w:styleId="TOC8">
    <w:name w:val="toc 8"/>
    <w:basedOn w:val="Normal"/>
    <w:next w:val="Normal"/>
    <w:autoRedefine/>
    <w:uiPriority w:val="99"/>
    <w:semiHidden/>
    <w:rsid w:val="00042B1F"/>
    <w:pPr>
      <w:spacing w:after="0"/>
      <w:jc w:val="left"/>
    </w:pPr>
    <w:rPr>
      <w:rFonts w:ascii="Calibri" w:hAnsi="Calibri" w:cs="Calibri"/>
    </w:rPr>
  </w:style>
  <w:style w:type="paragraph" w:styleId="TOC9">
    <w:name w:val="toc 9"/>
    <w:basedOn w:val="Normal"/>
    <w:next w:val="Normal"/>
    <w:autoRedefine/>
    <w:uiPriority w:val="99"/>
    <w:semiHidden/>
    <w:rsid w:val="00042B1F"/>
    <w:pPr>
      <w:spacing w:after="0"/>
      <w:jc w:val="left"/>
    </w:pPr>
    <w:rPr>
      <w:rFonts w:ascii="Calibri" w:hAnsi="Calibri" w:cs="Calibri"/>
    </w:rPr>
  </w:style>
  <w:style w:type="paragraph" w:styleId="TableofFigures">
    <w:name w:val="table of figures"/>
    <w:basedOn w:val="Normal"/>
    <w:next w:val="Normal"/>
    <w:uiPriority w:val="99"/>
    <w:rsid w:val="006B36A9"/>
  </w:style>
  <w:style w:type="paragraph" w:customStyle="1" w:styleId="Default">
    <w:name w:val="Default"/>
    <w:uiPriority w:val="99"/>
    <w:rsid w:val="00E077DE"/>
    <w:pPr>
      <w:autoSpaceDE w:val="0"/>
      <w:autoSpaceDN w:val="0"/>
      <w:adjustRightInd w:val="0"/>
    </w:pPr>
    <w:rPr>
      <w:color w:val="000000"/>
      <w:sz w:val="24"/>
      <w:szCs w:val="24"/>
      <w:lang w:eastAsia="zh-CN"/>
    </w:rPr>
  </w:style>
  <w:style w:type="character" w:styleId="PlaceholderText">
    <w:name w:val="Placeholder Text"/>
    <w:basedOn w:val="DefaultParagraphFont"/>
    <w:uiPriority w:val="99"/>
    <w:semiHidden/>
    <w:rsid w:val="00D86056"/>
    <w:rPr>
      <w:color w:val="808080"/>
    </w:rPr>
  </w:style>
  <w:style w:type="paragraph" w:customStyle="1" w:styleId="Bullet">
    <w:name w:val="Bullet"/>
    <w:basedOn w:val="Normal"/>
    <w:link w:val="BulletChar"/>
    <w:qFormat/>
    <w:rsid w:val="0014037A"/>
    <w:pPr>
      <w:numPr>
        <w:numId w:val="2"/>
      </w:numPr>
      <w:spacing w:line="276" w:lineRule="auto"/>
      <w:ind w:left="714" w:hanging="357"/>
      <w:contextualSpacing/>
    </w:pPr>
  </w:style>
  <w:style w:type="character" w:customStyle="1" w:styleId="BulletChar">
    <w:name w:val="Bullet Char"/>
    <w:basedOn w:val="DefaultParagraphFont"/>
    <w:link w:val="Bullet"/>
    <w:rsid w:val="0014037A"/>
    <w:rPr>
      <w:rFonts w:asciiTheme="minorHAnsi" w:hAnsiTheme="minorHAnsi" w:cs="Cambria"/>
      <w:bCs/>
      <w:lang w:val="en-US" w:eastAsia="ja-JP"/>
    </w:rPr>
  </w:style>
  <w:style w:type="paragraph" w:customStyle="1" w:styleId="Bottomcaption">
    <w:name w:val="Bottom caption"/>
    <w:basedOn w:val="Caption"/>
    <w:link w:val="BottomcaptionChar"/>
    <w:qFormat/>
    <w:rsid w:val="0084420A"/>
    <w:pPr>
      <w:framePr w:wrap="around"/>
      <w:spacing w:before="120" w:after="360"/>
      <w:jc w:val="right"/>
    </w:pPr>
    <w:rPr>
      <w:b w:val="0"/>
      <w:caps w:val="0"/>
      <w:color w:val="808080" w:themeColor="background1" w:themeShade="80"/>
    </w:rPr>
  </w:style>
  <w:style w:type="character" w:customStyle="1" w:styleId="BottomcaptionChar">
    <w:name w:val="Bottom caption Char"/>
    <w:basedOn w:val="DefaultParagraphFont"/>
    <w:link w:val="Bottomcaption"/>
    <w:rsid w:val="0084420A"/>
    <w:rPr>
      <w:rFonts w:asciiTheme="minorHAnsi" w:hAnsiTheme="minorHAnsi" w:cs="Cambria"/>
      <w:color w:val="808080" w:themeColor="background1" w:themeShade="80"/>
      <w:sz w:val="20"/>
      <w:szCs w:val="20"/>
      <w:lang w:val="en-US" w:eastAsia="ja-JP"/>
    </w:rPr>
  </w:style>
  <w:style w:type="character" w:styleId="SubtleEmphasis">
    <w:name w:val="Subtle Emphasis"/>
    <w:basedOn w:val="DefaultParagraphFont"/>
    <w:uiPriority w:val="19"/>
    <w:rsid w:val="002C72DE"/>
    <w:rPr>
      <w:rFonts w:asciiTheme="minorHAnsi" w:hAnsiTheme="minorHAnsi"/>
      <w:i/>
      <w:iCs/>
    </w:rPr>
  </w:style>
  <w:style w:type="character" w:styleId="BookTitle">
    <w:name w:val="Book Title"/>
    <w:basedOn w:val="DefaultParagraphFont"/>
    <w:uiPriority w:val="33"/>
    <w:rsid w:val="0055242E"/>
    <w:rPr>
      <w:rFonts w:ascii="Avenir Next Regular" w:hAnsi="Avenir Next Regular"/>
      <w:b/>
      <w:bCs/>
      <w:i/>
      <w:iCs/>
      <w:color w:val="134753"/>
      <w:spacing w:val="5"/>
    </w:rPr>
  </w:style>
  <w:style w:type="table" w:styleId="TableTheme">
    <w:name w:val="Table Theme"/>
    <w:basedOn w:val="TableNormal"/>
    <w:uiPriority w:val="99"/>
    <w:semiHidden/>
    <w:unhideWhenUsed/>
    <w:rsid w:val="00534500"/>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C32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ummary">
    <w:name w:val="Summary"/>
    <w:basedOn w:val="Normal"/>
    <w:link w:val="SummaryChar"/>
    <w:rsid w:val="004C6C72"/>
    <w:pPr>
      <w:pBdr>
        <w:top w:val="single" w:sz="2" w:space="1" w:color="BFBFBF" w:themeColor="background1" w:themeShade="BF"/>
        <w:bottom w:val="single" w:sz="2" w:space="1" w:color="BFBFBF" w:themeColor="background1" w:themeShade="BF"/>
      </w:pBdr>
      <w:spacing w:before="360" w:after="360"/>
    </w:pPr>
    <w:rPr>
      <w:color w:val="000000" w:themeColor="text1"/>
    </w:rPr>
  </w:style>
  <w:style w:type="character" w:customStyle="1" w:styleId="SummaryChar">
    <w:name w:val="Summary Char"/>
    <w:basedOn w:val="DefaultParagraphFont"/>
    <w:link w:val="Summary"/>
    <w:rsid w:val="004C6C72"/>
    <w:rPr>
      <w:rFonts w:asciiTheme="minorHAnsi" w:hAnsiTheme="minorHAnsi" w:cs="Cambria"/>
      <w:bCs/>
      <w:color w:val="000000" w:themeColor="text1"/>
      <w:lang w:val="en-US" w:eastAsia="ja-JP"/>
    </w:rPr>
  </w:style>
  <w:style w:type="paragraph" w:customStyle="1" w:styleId="Focus">
    <w:name w:val="Focus"/>
    <w:basedOn w:val="Normal"/>
    <w:link w:val="FocusChar"/>
    <w:qFormat/>
    <w:rsid w:val="002C72DE"/>
    <w:pPr>
      <w:keepNext/>
    </w:pPr>
    <w:rPr>
      <w:b/>
      <w:caps/>
      <w:color w:val="134753" w:themeColor="accent1"/>
    </w:rPr>
  </w:style>
  <w:style w:type="character" w:customStyle="1" w:styleId="FocusChar">
    <w:name w:val="Focus Char"/>
    <w:basedOn w:val="DefaultParagraphFont"/>
    <w:link w:val="Focus"/>
    <w:rsid w:val="002C72DE"/>
    <w:rPr>
      <w:rFonts w:asciiTheme="minorHAnsi" w:hAnsiTheme="minorHAnsi" w:cs="Cambria"/>
      <w:b/>
      <w:bCs/>
      <w:caps/>
      <w:color w:val="134753" w:themeColor="accent1"/>
      <w:lang w:val="en-US" w:eastAsia="ja-JP"/>
    </w:rPr>
  </w:style>
  <w:style w:type="table" w:styleId="PlainTable2">
    <w:name w:val="Plain Table 2"/>
    <w:basedOn w:val="TableNormal"/>
    <w:uiPriority w:val="42"/>
    <w:rsid w:val="00162F6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ingleCell">
    <w:name w:val="Single Cell"/>
    <w:basedOn w:val="Focus"/>
    <w:link w:val="SingleCellChar"/>
    <w:qFormat/>
    <w:rsid w:val="00DA1498"/>
  </w:style>
  <w:style w:type="table" w:customStyle="1" w:styleId="CivittaSingleCell">
    <w:name w:val="Civitta Single Cell"/>
    <w:basedOn w:val="TableNormal"/>
    <w:uiPriority w:val="99"/>
    <w:rsid w:val="001A4B7F"/>
    <w:pPr>
      <w:spacing w:before="60" w:after="60"/>
    </w:pPr>
    <w:tblPr>
      <w:tblBorders>
        <w:top w:val="single" w:sz="4" w:space="0" w:color="134753" w:themeColor="accent1"/>
        <w:bottom w:val="single" w:sz="4" w:space="0" w:color="134753" w:themeColor="accent1"/>
      </w:tblBorders>
    </w:tblPr>
  </w:style>
  <w:style w:type="character" w:customStyle="1" w:styleId="SingleCellChar">
    <w:name w:val="Single Cell Char"/>
    <w:basedOn w:val="FocusChar"/>
    <w:link w:val="SingleCell"/>
    <w:rsid w:val="00DA1498"/>
    <w:rPr>
      <w:rFonts w:asciiTheme="minorHAnsi" w:hAnsiTheme="minorHAnsi" w:cs="Cambria"/>
      <w:b/>
      <w:bCs/>
      <w:caps/>
      <w:color w:val="ABCD3A" w:themeColor="text2"/>
      <w:lang w:val="en-US" w:eastAsia="ja-JP"/>
    </w:rPr>
  </w:style>
  <w:style w:type="table" w:styleId="PlainTable1">
    <w:name w:val="Plain Table 1"/>
    <w:basedOn w:val="TableNormal"/>
    <w:uiPriority w:val="41"/>
    <w:rsid w:val="00AD2F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34A68"/>
    <w:rPr>
      <w:color w:val="605E5C"/>
      <w:shd w:val="clear" w:color="auto" w:fill="E1DFDD"/>
    </w:rPr>
  </w:style>
  <w:style w:type="paragraph" w:customStyle="1" w:styleId="BoldCIVITTABlue">
    <w:name w:val="Bold_CIVITTA Blue"/>
    <w:basedOn w:val="Normal"/>
    <w:link w:val="BoldCIVITTABlueChar"/>
    <w:qFormat/>
    <w:rsid w:val="006549D0"/>
    <w:pPr>
      <w:jc w:val="left"/>
    </w:pPr>
    <w:rPr>
      <w:rFonts w:cstheme="minorHAnsi"/>
      <w:b/>
      <w:color w:val="134753" w:themeColor="accent1"/>
    </w:rPr>
  </w:style>
  <w:style w:type="character" w:customStyle="1" w:styleId="Heading5Char">
    <w:name w:val="Heading 5 Char"/>
    <w:basedOn w:val="DefaultParagraphFont"/>
    <w:link w:val="Heading5"/>
    <w:rsid w:val="002C72DE"/>
    <w:rPr>
      <w:rFonts w:asciiTheme="minorHAnsi" w:eastAsiaTheme="majorEastAsia" w:hAnsiTheme="minorHAnsi" w:cstheme="majorBidi"/>
      <w:bCs/>
      <w:color w:val="0E353E" w:themeColor="accent1" w:themeShade="BF"/>
      <w:lang w:val="en-US" w:eastAsia="ja-JP"/>
    </w:rPr>
  </w:style>
  <w:style w:type="character" w:styleId="IntenseEmphasis">
    <w:name w:val="Intense Emphasis"/>
    <w:basedOn w:val="DefaultParagraphFont"/>
    <w:uiPriority w:val="21"/>
    <w:rsid w:val="002C72DE"/>
    <w:rPr>
      <w:rFonts w:asciiTheme="minorHAnsi" w:hAnsiTheme="minorHAnsi"/>
      <w:i/>
      <w:iCs/>
      <w:color w:val="7F7F7F" w:themeColor="accent3"/>
      <w:sz w:val="22"/>
    </w:rPr>
  </w:style>
  <w:style w:type="paragraph" w:styleId="IntenseQuote">
    <w:name w:val="Intense Quote"/>
    <w:basedOn w:val="Normal"/>
    <w:next w:val="Normal"/>
    <w:link w:val="IntenseQuoteChar"/>
    <w:uiPriority w:val="30"/>
    <w:rsid w:val="002C72DE"/>
    <w:pPr>
      <w:pBdr>
        <w:top w:val="single" w:sz="4" w:space="10" w:color="7F7F7F" w:themeColor="accent3"/>
        <w:bottom w:val="single" w:sz="4" w:space="10" w:color="7F7F7F" w:themeColor="accent3"/>
      </w:pBdr>
      <w:spacing w:before="360" w:after="360"/>
      <w:ind w:left="864" w:right="864"/>
      <w:jc w:val="center"/>
    </w:pPr>
    <w:rPr>
      <w:i/>
      <w:iCs/>
      <w:color w:val="7F7F7F" w:themeColor="accent3"/>
    </w:rPr>
  </w:style>
  <w:style w:type="character" w:customStyle="1" w:styleId="IntenseQuoteChar">
    <w:name w:val="Intense Quote Char"/>
    <w:basedOn w:val="DefaultParagraphFont"/>
    <w:link w:val="IntenseQuote"/>
    <w:uiPriority w:val="30"/>
    <w:rsid w:val="002C72DE"/>
    <w:rPr>
      <w:rFonts w:asciiTheme="minorHAnsi" w:hAnsiTheme="minorHAnsi" w:cs="Cambria"/>
      <w:bCs/>
      <w:i/>
      <w:iCs/>
      <w:color w:val="7F7F7F" w:themeColor="accent3"/>
      <w:lang w:val="en-US" w:eastAsia="ja-JP"/>
    </w:rPr>
  </w:style>
  <w:style w:type="paragraph" w:customStyle="1" w:styleId="TitleSection">
    <w:name w:val="Title_Section"/>
    <w:basedOn w:val="Normal"/>
    <w:link w:val="TitleSectionChar"/>
    <w:qFormat/>
    <w:rsid w:val="006549D0"/>
    <w:pPr>
      <w:spacing w:after="600"/>
    </w:pPr>
    <w:rPr>
      <w:b/>
      <w:caps/>
      <w:color w:val="134753" w:themeColor="accent1"/>
      <w:sz w:val="40"/>
      <w:szCs w:val="40"/>
    </w:rPr>
  </w:style>
  <w:style w:type="character" w:customStyle="1" w:styleId="BoldCIVITTABlueChar">
    <w:name w:val="Bold_CIVITTA Blue Char"/>
    <w:basedOn w:val="DefaultParagraphFont"/>
    <w:link w:val="BoldCIVITTABlue"/>
    <w:rsid w:val="006549D0"/>
    <w:rPr>
      <w:rFonts w:asciiTheme="minorHAnsi" w:hAnsiTheme="minorHAnsi" w:cstheme="minorHAnsi"/>
      <w:b/>
      <w:bCs/>
      <w:color w:val="134753" w:themeColor="accent1"/>
      <w:lang w:val="en-US" w:eastAsia="ja-JP"/>
    </w:rPr>
  </w:style>
  <w:style w:type="character" w:customStyle="1" w:styleId="TitleSectionChar">
    <w:name w:val="Title_Section Char"/>
    <w:basedOn w:val="DefaultParagraphFont"/>
    <w:link w:val="TitleSection"/>
    <w:rsid w:val="006549D0"/>
    <w:rPr>
      <w:rFonts w:asciiTheme="minorHAnsi" w:hAnsiTheme="minorHAnsi" w:cs="Cambria"/>
      <w:b/>
      <w:bCs/>
      <w:caps/>
      <w:color w:val="134753" w:themeColor="accent1"/>
      <w:sz w:val="40"/>
      <w:szCs w:val="40"/>
      <w:lang w:val="en-US" w:eastAsia="ja-JP"/>
    </w:rPr>
  </w:style>
  <w:style w:type="paragraph" w:customStyle="1" w:styleId="TitleCoverPage">
    <w:name w:val="Title_CoverPage"/>
    <w:basedOn w:val="Normal"/>
    <w:link w:val="TitleCoverPageChar"/>
    <w:qFormat/>
    <w:rsid w:val="002905A8"/>
    <w:pPr>
      <w:jc w:val="left"/>
    </w:pPr>
    <w:rPr>
      <w:rFonts w:cstheme="minorHAnsi"/>
      <w:b/>
      <w:color w:val="FFFFFF" w:themeColor="background1"/>
      <w:sz w:val="44"/>
      <w:szCs w:val="44"/>
    </w:rPr>
  </w:style>
  <w:style w:type="paragraph" w:customStyle="1" w:styleId="BoldCIVITTAWhite">
    <w:name w:val="Bold_CIVITTA White"/>
    <w:basedOn w:val="Normal"/>
    <w:link w:val="BoldCIVITTAWhiteChar"/>
    <w:rsid w:val="009029A3"/>
    <w:pPr>
      <w:spacing w:after="0"/>
      <w:jc w:val="left"/>
    </w:pPr>
    <w:rPr>
      <w:rFonts w:cstheme="minorHAnsi"/>
      <w:b/>
      <w:color w:val="FFFFFF" w:themeColor="background1"/>
    </w:rPr>
  </w:style>
  <w:style w:type="character" w:customStyle="1" w:styleId="TitleCoverPageChar">
    <w:name w:val="Title_CoverPage Char"/>
    <w:basedOn w:val="DefaultParagraphFont"/>
    <w:link w:val="TitleCoverPage"/>
    <w:rsid w:val="002905A8"/>
    <w:rPr>
      <w:rFonts w:asciiTheme="minorHAnsi" w:hAnsiTheme="minorHAnsi" w:cstheme="minorHAnsi"/>
      <w:b/>
      <w:bCs/>
      <w:color w:val="FFFFFF" w:themeColor="background1"/>
      <w:sz w:val="44"/>
      <w:szCs w:val="44"/>
      <w:lang w:val="en-US" w:eastAsia="ja-JP"/>
    </w:rPr>
  </w:style>
  <w:style w:type="paragraph" w:styleId="NormalWeb">
    <w:name w:val="Normal (Web)"/>
    <w:basedOn w:val="Normal"/>
    <w:uiPriority w:val="99"/>
    <w:semiHidden/>
    <w:unhideWhenUsed/>
    <w:rsid w:val="00751377"/>
    <w:pPr>
      <w:spacing w:before="100" w:beforeAutospacing="1" w:after="100" w:afterAutospacing="1"/>
      <w:jc w:val="left"/>
    </w:pPr>
    <w:rPr>
      <w:rFonts w:ascii="Times New Roman" w:eastAsia="Times New Roman" w:hAnsi="Times New Roman" w:cs="Times New Roman"/>
      <w:bCs w:val="0"/>
      <w:sz w:val="24"/>
      <w:szCs w:val="24"/>
      <w:lang w:eastAsia="en-US"/>
    </w:rPr>
  </w:style>
  <w:style w:type="character" w:customStyle="1" w:styleId="BoldCIVITTAWhiteChar">
    <w:name w:val="Bold_CIVITTA White Char"/>
    <w:basedOn w:val="DefaultParagraphFont"/>
    <w:link w:val="BoldCIVITTAWhite"/>
    <w:rsid w:val="009029A3"/>
    <w:rPr>
      <w:rFonts w:asciiTheme="minorHAnsi" w:hAnsiTheme="minorHAnsi" w:cstheme="minorHAnsi"/>
      <w:b/>
      <w:bCs/>
      <w:color w:val="FFFFFF" w:themeColor="background1"/>
      <w:lang w:val="en-US" w:eastAsia="ja-JP"/>
    </w:rPr>
  </w:style>
  <w:style w:type="paragraph" w:customStyle="1" w:styleId="NormalBackCover">
    <w:name w:val="Normal_BackCover"/>
    <w:basedOn w:val="Normal"/>
    <w:link w:val="NormalBackCoverChar"/>
    <w:rsid w:val="008A4094"/>
    <w:pPr>
      <w:spacing w:after="0"/>
      <w:contextualSpacing/>
      <w:jc w:val="left"/>
    </w:pPr>
    <w:rPr>
      <w:bCs w:val="0"/>
      <w:color w:val="FFFFFF" w:themeColor="background1"/>
    </w:rPr>
  </w:style>
  <w:style w:type="paragraph" w:customStyle="1" w:styleId="BoldCIVITTALightBlue">
    <w:name w:val="Bold_CIVITTA Light Blue"/>
    <w:basedOn w:val="NormalBackCover"/>
    <w:link w:val="BoldCIVITTALightBlueChar"/>
    <w:qFormat/>
    <w:rsid w:val="00751377"/>
    <w:rPr>
      <w:b/>
      <w:bCs/>
      <w:color w:val="00ABC0" w:themeColor="accent2"/>
    </w:rPr>
  </w:style>
  <w:style w:type="character" w:customStyle="1" w:styleId="NormalBackCoverChar">
    <w:name w:val="Normal_BackCover Char"/>
    <w:basedOn w:val="DefaultParagraphFont"/>
    <w:link w:val="NormalBackCover"/>
    <w:rsid w:val="008A4094"/>
    <w:rPr>
      <w:rFonts w:asciiTheme="minorHAnsi" w:hAnsiTheme="minorHAnsi" w:cs="Cambria"/>
      <w:color w:val="FFFFFF" w:themeColor="background1"/>
      <w:lang w:val="en-US" w:eastAsia="ja-JP"/>
    </w:rPr>
  </w:style>
  <w:style w:type="character" w:customStyle="1" w:styleId="Heading6Char">
    <w:name w:val="Heading 6 Char"/>
    <w:basedOn w:val="DefaultParagraphFont"/>
    <w:link w:val="Heading6"/>
    <w:rsid w:val="00452CE0"/>
    <w:rPr>
      <w:rFonts w:asciiTheme="minorHAnsi" w:eastAsiaTheme="majorEastAsia" w:hAnsiTheme="minorHAnsi" w:cstheme="majorBidi"/>
      <w:bCs/>
      <w:color w:val="092329" w:themeColor="accent1" w:themeShade="7F"/>
      <w:lang w:val="en-US" w:eastAsia="ja-JP"/>
    </w:rPr>
  </w:style>
  <w:style w:type="character" w:customStyle="1" w:styleId="BoldCIVITTALightBlueChar">
    <w:name w:val="Bold_CIVITTA Light Blue Char"/>
    <w:basedOn w:val="NormalBackCoverChar"/>
    <w:link w:val="BoldCIVITTALightBlue"/>
    <w:rsid w:val="00751377"/>
    <w:rPr>
      <w:rFonts w:asciiTheme="minorHAnsi" w:hAnsiTheme="minorHAnsi" w:cs="Cambria"/>
      <w:b/>
      <w:bCs/>
      <w:color w:val="00ABC0" w:themeColor="accent2"/>
      <w:lang w:val="en-US" w:eastAsia="ja-JP"/>
    </w:rPr>
  </w:style>
  <w:style w:type="character" w:customStyle="1" w:styleId="Heading7Char">
    <w:name w:val="Heading 7 Char"/>
    <w:basedOn w:val="DefaultParagraphFont"/>
    <w:link w:val="Heading7"/>
    <w:semiHidden/>
    <w:rsid w:val="00224D5D"/>
    <w:rPr>
      <w:rFonts w:asciiTheme="minorHAnsi" w:eastAsiaTheme="majorEastAsia" w:hAnsiTheme="minorHAnsi" w:cstheme="majorBidi"/>
      <w:bCs/>
      <w:i/>
      <w:iCs/>
      <w:color w:val="092329" w:themeColor="accent1" w:themeShade="7F"/>
      <w:lang w:val="en-US" w:eastAsia="ja-JP"/>
    </w:rPr>
  </w:style>
  <w:style w:type="paragraph" w:customStyle="1" w:styleId="FooterInvoice">
    <w:name w:val="Footer_Invoice"/>
    <w:basedOn w:val="Normal"/>
    <w:link w:val="FooterInvoiceChar"/>
    <w:rsid w:val="00533086"/>
    <w:pPr>
      <w:spacing w:after="0"/>
    </w:pPr>
    <w:rPr>
      <w:color w:val="7F7F7F" w:themeColor="accent3"/>
      <w:sz w:val="16"/>
      <w:szCs w:val="20"/>
    </w:rPr>
  </w:style>
  <w:style w:type="character" w:customStyle="1" w:styleId="FooterInvoiceChar">
    <w:name w:val="Footer_Invoice Char"/>
    <w:basedOn w:val="DefaultParagraphFont"/>
    <w:link w:val="FooterInvoice"/>
    <w:rsid w:val="00533086"/>
    <w:rPr>
      <w:rFonts w:asciiTheme="minorHAnsi" w:hAnsiTheme="minorHAnsi" w:cs="Cambria"/>
      <w:bCs/>
      <w:color w:val="7F7F7F" w:themeColor="accent3"/>
      <w:sz w:val="16"/>
      <w:szCs w:val="20"/>
      <w:lang w:val="en-US" w:eastAsia="ja-JP"/>
    </w:rPr>
  </w:style>
  <w:style w:type="paragraph" w:styleId="NoSpacing">
    <w:name w:val="No Spacing"/>
    <w:uiPriority w:val="1"/>
    <w:rsid w:val="00791DD3"/>
    <w:rPr>
      <w:rFonts w:asciiTheme="minorHAnsi" w:hAnsiTheme="minorHAnsi" w:cs="Cambria"/>
      <w:bCs/>
      <w:lang w:val="en-US" w:eastAsia="ja-JP"/>
    </w:rPr>
  </w:style>
  <w:style w:type="paragraph" w:customStyle="1" w:styleId="CVRelevantXPPre-Civitta">
    <w:name w:val="CV_Relevant XP Pre-Civitta"/>
    <w:basedOn w:val="ListParagraph"/>
    <w:link w:val="CVRelevantXPPre-CivittaChar"/>
    <w:rsid w:val="00171101"/>
    <w:pPr>
      <w:numPr>
        <w:numId w:val="3"/>
      </w:numPr>
      <w:spacing w:after="0" w:line="276" w:lineRule="auto"/>
      <w:ind w:left="714" w:hanging="357"/>
      <w:jc w:val="left"/>
    </w:pPr>
    <w:rPr>
      <w:rFonts w:eastAsiaTheme="minorHAnsi" w:cstheme="minorBidi"/>
      <w:bCs w:val="0"/>
      <w:sz w:val="20"/>
      <w:szCs w:val="20"/>
      <w:lang w:eastAsia="en-US"/>
    </w:rPr>
  </w:style>
  <w:style w:type="paragraph" w:customStyle="1" w:styleId="CVDescription">
    <w:name w:val="CV_Description"/>
    <w:basedOn w:val="CVRelevantXPPre-Civitta"/>
    <w:link w:val="CVDescriptionChar"/>
    <w:rsid w:val="00171101"/>
    <w:pPr>
      <w:numPr>
        <w:numId w:val="0"/>
      </w:numPr>
      <w:spacing w:after="200"/>
      <w:ind w:left="714"/>
    </w:pPr>
  </w:style>
  <w:style w:type="character" w:customStyle="1" w:styleId="CVRelevantXPPre-CivittaChar">
    <w:name w:val="CV_Relevant XP Pre-Civitta Char"/>
    <w:basedOn w:val="DefaultParagraphFont"/>
    <w:link w:val="CVRelevantXPPre-Civitta"/>
    <w:rsid w:val="00171101"/>
    <w:rPr>
      <w:rFonts w:asciiTheme="minorHAnsi" w:eastAsiaTheme="minorHAnsi" w:hAnsiTheme="minorHAnsi" w:cstheme="minorBidi"/>
      <w:sz w:val="20"/>
      <w:szCs w:val="20"/>
      <w:lang w:val="en-US"/>
    </w:rPr>
  </w:style>
  <w:style w:type="character" w:customStyle="1" w:styleId="CVDescriptionChar">
    <w:name w:val="CV_Description Char"/>
    <w:basedOn w:val="CVRelevantXPPre-CivittaChar"/>
    <w:link w:val="CVDescription"/>
    <w:rsid w:val="00171101"/>
    <w:rPr>
      <w:rFonts w:asciiTheme="minorHAnsi" w:eastAsiaTheme="minorHAnsi" w:hAnsiTheme="minorHAnsi" w:cstheme="minorBidi"/>
      <w:sz w:val="20"/>
      <w:szCs w:val="20"/>
      <w:lang w:val="en-US"/>
    </w:rPr>
  </w:style>
  <w:style w:type="paragraph" w:customStyle="1" w:styleId="CVEducationCivitta">
    <w:name w:val="CV_Education_Civitta"/>
    <w:basedOn w:val="CVDescription"/>
    <w:link w:val="CVEducationCivittaChar"/>
    <w:rsid w:val="00171101"/>
    <w:pPr>
      <w:spacing w:after="0"/>
    </w:pPr>
  </w:style>
  <w:style w:type="paragraph" w:customStyle="1" w:styleId="CVSectionCivitta">
    <w:name w:val="CV_Section_Civitta"/>
    <w:basedOn w:val="Normal"/>
    <w:link w:val="CVSectionCivittaChar"/>
    <w:rsid w:val="00FA5DC3"/>
    <w:pPr>
      <w:pBdr>
        <w:bottom w:val="single" w:sz="2" w:space="1" w:color="BFBFBF" w:themeColor="background1" w:themeShade="BF"/>
      </w:pBdr>
      <w:spacing w:before="240" w:after="200" w:line="276" w:lineRule="auto"/>
      <w:jc w:val="left"/>
    </w:pPr>
    <w:rPr>
      <w:rFonts w:eastAsiaTheme="minorHAnsi" w:cstheme="minorBidi"/>
      <w:b/>
      <w:color w:val="134753" w:themeColor="accent1"/>
      <w:lang w:eastAsia="en-US"/>
    </w:rPr>
  </w:style>
  <w:style w:type="character" w:customStyle="1" w:styleId="CVEducationCivittaChar">
    <w:name w:val="CV_Education_Civitta Char"/>
    <w:basedOn w:val="CVDescriptionChar"/>
    <w:link w:val="CVEducationCivitta"/>
    <w:rsid w:val="00171101"/>
    <w:rPr>
      <w:rFonts w:asciiTheme="minorHAnsi" w:eastAsiaTheme="minorHAnsi" w:hAnsiTheme="minorHAnsi" w:cstheme="minorBidi"/>
      <w:sz w:val="20"/>
      <w:szCs w:val="20"/>
      <w:lang w:val="en-US"/>
    </w:rPr>
  </w:style>
  <w:style w:type="character" w:customStyle="1" w:styleId="CVSectionCivittaChar">
    <w:name w:val="CV_Section_Civitta Char"/>
    <w:basedOn w:val="DefaultParagraphFont"/>
    <w:link w:val="CVSectionCivitta"/>
    <w:rsid w:val="00FA5DC3"/>
    <w:rPr>
      <w:rFonts w:asciiTheme="minorHAnsi" w:eastAsiaTheme="minorHAnsi" w:hAnsiTheme="minorHAnsi" w:cstheme="minorBidi"/>
      <w:b/>
      <w:bCs/>
      <w:color w:val="134753" w:themeColor="accent1"/>
      <w:lang w:val="en-US"/>
    </w:rPr>
  </w:style>
  <w:style w:type="paragraph" w:customStyle="1" w:styleId="NormalLeftAligned">
    <w:name w:val="Normal_LeftAligned"/>
    <w:basedOn w:val="Normal"/>
    <w:link w:val="NormalLeftAlignedChar"/>
    <w:rsid w:val="00ED66F6"/>
    <w:pPr>
      <w:spacing w:after="240"/>
      <w:jc w:val="left"/>
    </w:pPr>
    <w:rPr>
      <w:rFonts w:cstheme="minorHAnsi"/>
      <w:color w:val="FFFFFF" w:themeColor="background1"/>
    </w:rPr>
  </w:style>
  <w:style w:type="paragraph" w:customStyle="1" w:styleId="NormalBold">
    <w:name w:val="Normal_Bold"/>
    <w:basedOn w:val="NormalLeftAligned"/>
    <w:link w:val="NormalBoldChar"/>
    <w:rsid w:val="002F7DEB"/>
    <w:pPr>
      <w:spacing w:after="0"/>
    </w:pPr>
    <w:rPr>
      <w:b/>
    </w:rPr>
  </w:style>
  <w:style w:type="character" w:customStyle="1" w:styleId="NormalLeftAlignedChar">
    <w:name w:val="Normal_LeftAligned Char"/>
    <w:basedOn w:val="DefaultParagraphFont"/>
    <w:link w:val="NormalLeftAligned"/>
    <w:rsid w:val="00ED66F6"/>
    <w:rPr>
      <w:rFonts w:asciiTheme="minorHAnsi" w:hAnsiTheme="minorHAnsi" w:cstheme="minorHAnsi"/>
      <w:bCs/>
      <w:color w:val="FFFFFF" w:themeColor="background1"/>
      <w:lang w:val="en-US" w:eastAsia="ja-JP"/>
    </w:rPr>
  </w:style>
  <w:style w:type="paragraph" w:customStyle="1" w:styleId="NormalWhite">
    <w:name w:val="Normal_White"/>
    <w:basedOn w:val="Normal"/>
    <w:link w:val="NormalWhiteChar"/>
    <w:rsid w:val="00ED66F6"/>
    <w:rPr>
      <w:color w:val="FFFFFF" w:themeColor="background1"/>
    </w:rPr>
  </w:style>
  <w:style w:type="character" w:customStyle="1" w:styleId="NormalBoldChar">
    <w:name w:val="Normal_Bold Char"/>
    <w:basedOn w:val="NormalLeftAlignedChar"/>
    <w:link w:val="NormalBold"/>
    <w:rsid w:val="002F7DEB"/>
    <w:rPr>
      <w:rFonts w:asciiTheme="minorHAnsi" w:hAnsiTheme="minorHAnsi" w:cstheme="minorHAnsi"/>
      <w:b/>
      <w:bCs/>
      <w:color w:val="FFFFFF" w:themeColor="background1"/>
      <w:lang w:val="en-US" w:eastAsia="ja-JP"/>
    </w:rPr>
  </w:style>
  <w:style w:type="character" w:customStyle="1" w:styleId="NormalWhiteChar">
    <w:name w:val="Normal_White Char"/>
    <w:basedOn w:val="DefaultParagraphFont"/>
    <w:link w:val="NormalWhite"/>
    <w:rsid w:val="00ED66F6"/>
    <w:rPr>
      <w:rFonts w:asciiTheme="minorHAnsi" w:hAnsiTheme="minorHAnsi" w:cs="Cambria"/>
      <w:bCs/>
      <w:color w:val="FFFFFF" w:themeColor="background1"/>
      <w:lang w:val="en-US" w:eastAsia="ja-JP"/>
    </w:rPr>
  </w:style>
  <w:style w:type="paragraph" w:customStyle="1" w:styleId="NormalBackCoverBig">
    <w:name w:val="Normal_BackCover_Big"/>
    <w:basedOn w:val="NormalBackCover"/>
    <w:link w:val="NormalBackCoverBigChar"/>
    <w:rsid w:val="006D50C0"/>
    <w:rPr>
      <w:b/>
      <w:bCs/>
      <w:sz w:val="42"/>
      <w:szCs w:val="42"/>
    </w:rPr>
  </w:style>
  <w:style w:type="character" w:customStyle="1" w:styleId="NormalBackCoverBigChar">
    <w:name w:val="Normal_BackCover_Big Char"/>
    <w:basedOn w:val="NormalBackCoverChar"/>
    <w:link w:val="NormalBackCoverBig"/>
    <w:rsid w:val="006D50C0"/>
    <w:rPr>
      <w:rFonts w:asciiTheme="minorHAnsi" w:hAnsiTheme="minorHAnsi" w:cs="Cambria"/>
      <w:b/>
      <w:bCs/>
      <w:color w:val="FFFFFF" w:themeColor="background1"/>
      <w:sz w:val="42"/>
      <w:szCs w:val="42"/>
      <w:lang w:val="en-US" w:eastAsia="ja-JP"/>
    </w:rPr>
  </w:style>
  <w:style w:type="character" w:styleId="FollowedHyperlink">
    <w:name w:val="FollowedHyperlink"/>
    <w:basedOn w:val="DefaultParagraphFont"/>
    <w:uiPriority w:val="99"/>
    <w:semiHidden/>
    <w:unhideWhenUsed/>
    <w:rsid w:val="00B76CCD"/>
    <w:rPr>
      <w:color w:val="134753" w:themeColor="followedHyperlink"/>
      <w:u w:val="single"/>
    </w:rPr>
  </w:style>
  <w:style w:type="paragraph" w:styleId="EndnoteText">
    <w:name w:val="endnote text"/>
    <w:basedOn w:val="Normal"/>
    <w:link w:val="EndnoteTextChar"/>
    <w:uiPriority w:val="99"/>
    <w:semiHidden/>
    <w:unhideWhenUsed/>
    <w:rsid w:val="00A66AFF"/>
    <w:pPr>
      <w:spacing w:after="0"/>
    </w:pPr>
    <w:rPr>
      <w:sz w:val="20"/>
      <w:szCs w:val="20"/>
    </w:rPr>
  </w:style>
  <w:style w:type="character" w:customStyle="1" w:styleId="EndnoteTextChar">
    <w:name w:val="Endnote Text Char"/>
    <w:basedOn w:val="DefaultParagraphFont"/>
    <w:link w:val="EndnoteText"/>
    <w:uiPriority w:val="99"/>
    <w:semiHidden/>
    <w:rsid w:val="00A66AFF"/>
    <w:rPr>
      <w:rFonts w:asciiTheme="minorHAnsi" w:hAnsiTheme="minorHAnsi" w:cs="Cambria"/>
      <w:bCs/>
      <w:sz w:val="20"/>
      <w:szCs w:val="20"/>
      <w:lang w:val="en-US" w:eastAsia="ja-JP"/>
    </w:rPr>
  </w:style>
  <w:style w:type="character" w:styleId="EndnoteReference">
    <w:name w:val="endnote reference"/>
    <w:basedOn w:val="DefaultParagraphFont"/>
    <w:uiPriority w:val="99"/>
    <w:semiHidden/>
    <w:unhideWhenUsed/>
    <w:rsid w:val="00A66AFF"/>
    <w:rPr>
      <w:vertAlign w:val="superscript"/>
    </w:rPr>
  </w:style>
  <w:style w:type="character" w:customStyle="1" w:styleId="ListParagraphChar">
    <w:name w:val="List Paragraph Char"/>
    <w:aliases w:val="Numbered List Char,ERP-List Paragraph Char,List Paragraph11 Char,Bullet EY Char,List Paragraph1 Char"/>
    <w:basedOn w:val="DefaultParagraphFont"/>
    <w:link w:val="ListParagraph"/>
    <w:uiPriority w:val="34"/>
    <w:locked/>
    <w:rsid w:val="00996ED2"/>
    <w:rPr>
      <w:rFonts w:asciiTheme="minorHAnsi" w:hAnsiTheme="minorHAnsi" w:cs="Cambria"/>
      <w:bCs/>
      <w:lang w:val="en-US" w:eastAsia="ja-JP"/>
    </w:rPr>
  </w:style>
  <w:style w:type="paragraph" w:customStyle="1" w:styleId="tv213">
    <w:name w:val="tv213"/>
    <w:basedOn w:val="Normal"/>
    <w:rsid w:val="005B2FE8"/>
    <w:pPr>
      <w:spacing w:before="100" w:beforeAutospacing="1" w:after="100" w:afterAutospacing="1"/>
      <w:jc w:val="left"/>
    </w:pPr>
    <w:rPr>
      <w:rFonts w:ascii="Times New Roman" w:eastAsia="Times New Roman" w:hAnsi="Times New Roman" w:cs="Times New Roman"/>
      <w:bCs w:val="0"/>
      <w:sz w:val="24"/>
      <w:szCs w:val="24"/>
      <w:lang w:val="lv-LV" w:eastAsia="lv-LV"/>
    </w:rPr>
  </w:style>
  <w:style w:type="paragraph" w:customStyle="1" w:styleId="labojumupamats">
    <w:name w:val="labojumu_pamats"/>
    <w:basedOn w:val="Normal"/>
    <w:rsid w:val="005B2FE8"/>
    <w:pPr>
      <w:spacing w:before="100" w:beforeAutospacing="1" w:after="100" w:afterAutospacing="1"/>
      <w:jc w:val="left"/>
    </w:pPr>
    <w:rPr>
      <w:rFonts w:ascii="Times New Roman" w:eastAsia="Times New Roman" w:hAnsi="Times New Roman" w:cs="Times New Roman"/>
      <w:bCs w:val="0"/>
      <w:sz w:val="24"/>
      <w:szCs w:val="24"/>
      <w:lang w:val="lv-LV" w:eastAsia="lv-LV"/>
    </w:rPr>
  </w:style>
  <w:style w:type="paragraph" w:styleId="Revision">
    <w:name w:val="Revision"/>
    <w:hidden/>
    <w:uiPriority w:val="99"/>
    <w:semiHidden/>
    <w:rsid w:val="00186B1D"/>
    <w:rPr>
      <w:rFonts w:asciiTheme="minorHAnsi" w:hAnsiTheme="minorHAnsi" w:cs="Cambria"/>
      <w:bCs/>
      <w:lang w:val="en-US" w:eastAsia="ja-JP"/>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1">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4">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5">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6">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7">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8">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9">
    <w:basedOn w:val="TableNormal1"/>
    <w:pPr>
      <w:spacing w:before="60" w:after="60"/>
    </w:pPr>
    <w:rPr>
      <w:rFonts w:ascii="Avenir" w:eastAsia="Avenir" w:hAnsi="Avenir" w:cs="Avenir"/>
      <w:b/>
      <w:sz w:val="20"/>
      <w:szCs w:val="20"/>
    </w:rPr>
    <w:tblPr>
      <w:tblStyleRowBandSize w:val="1"/>
      <w:tblStyleColBandSize w:val="1"/>
      <w:tblCellMar>
        <w:left w:w="108" w:type="dxa"/>
        <w:right w:w="108" w:type="dxa"/>
      </w:tblCellMar>
    </w:tblPr>
    <w:tblStylePr w:type="firstRow">
      <w:pPr>
        <w:spacing w:before="0" w:after="0"/>
        <w:jc w:val="left"/>
      </w:pPr>
      <w:rPr>
        <w:rFonts w:ascii="Calibri" w:eastAsia="Calibri" w:hAnsi="Calibri" w:cs="Calibri"/>
        <w:smallCaps w:val="0"/>
        <w:color w:val="FFFFFF"/>
        <w:sz w:val="20"/>
        <w:szCs w:val="20"/>
      </w:rPr>
      <w:tblPr/>
      <w:tcPr>
        <w:shd w:val="clear" w:color="auto" w:fill="134753"/>
      </w:tcPr>
    </w:tblStylePr>
    <w:tblStylePr w:type="band1Horz">
      <w:tblPr/>
      <w:tcPr>
        <w:shd w:val="clear" w:color="auto" w:fill="F2F2F2"/>
      </w:tcPr>
    </w:tblStylePr>
    <w:tblStylePr w:type="band2Horz">
      <w:tblPr/>
      <w:tcPr>
        <w:shd w:val="clear" w:color="auto" w:fill="F2F2F2"/>
      </w:tcPr>
    </w:tblStylePr>
  </w:style>
  <w:style w:type="table" w:customStyle="1" w:styleId="aa">
    <w:basedOn w:val="TableNormal"/>
    <w:pPr>
      <w:spacing w:before="60" w:after="60"/>
    </w:pPr>
    <w:rPr>
      <w:rFonts w:ascii="Avenir" w:eastAsia="Avenir" w:hAnsi="Avenir" w:cs="Avenir"/>
      <w:b/>
      <w:sz w:val="20"/>
      <w:szCs w:val="20"/>
    </w:rPr>
    <w:tblPr>
      <w:tblStyleRowBandSize w:val="1"/>
      <w:tblStyleColBandSize w:val="1"/>
    </w:tblPr>
  </w:style>
  <w:style w:type="table" w:customStyle="1" w:styleId="ab">
    <w:basedOn w:val="TableNormal"/>
    <w:pPr>
      <w:spacing w:before="60" w:after="60"/>
    </w:pPr>
    <w:rPr>
      <w:rFonts w:ascii="Avenir" w:eastAsia="Avenir" w:hAnsi="Avenir" w:cs="Avenir"/>
      <w:b/>
      <w:sz w:val="20"/>
      <w:szCs w:val="20"/>
    </w:rPr>
    <w:tblPr>
      <w:tblStyleRowBandSize w:val="1"/>
      <w:tblStyleColBandSize w:val="1"/>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character" w:styleId="SubtleReference">
    <w:name w:val="Subtle Reference"/>
    <w:basedOn w:val="DefaultParagraphFont"/>
    <w:uiPriority w:val="31"/>
    <w:qFormat/>
    <w:rsid w:val="00986DAC"/>
    <w:rPr>
      <w:smallCaps/>
      <w:color w:val="5A5A5A" w:themeColor="text1" w:themeTint="A5"/>
    </w:rPr>
  </w:style>
  <w:style w:type="table" w:customStyle="1" w:styleId="af2">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3">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4">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5">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6">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7">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8">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9">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a">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b">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c">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d">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e">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f">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f0">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 w:type="table" w:customStyle="1" w:styleId="aff1">
    <w:basedOn w:val="TableNormal"/>
    <w:pPr>
      <w:spacing w:before="60" w:after="60"/>
    </w:pPr>
    <w:rPr>
      <w:rFonts w:ascii="Avenir" w:eastAsia="Avenir" w:hAnsi="Avenir" w:cs="Avenir"/>
      <w:b/>
      <w:sz w:val="20"/>
      <w:szCs w:val="20"/>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jp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vid.gov.lv/lv/informacija-par-darba-vietam-2021gada-atbilstosi-profesiju-klasifikatoram" TargetMode="External"/><Relationship Id="rId13" Type="http://schemas.openxmlformats.org/officeDocument/2006/relationships/hyperlink" Target="https://www.riigiteataja.ee/akt/12765172?leiaKehtiv" TargetMode="External"/><Relationship Id="rId18" Type="http://schemas.openxmlformats.org/officeDocument/2006/relationships/hyperlink" Target="https://www2.deloitte.com/ca/en/pages/resource-evaluation-and-advisory/topics/deloitte-canadian-price-forecast.html" TargetMode="External"/><Relationship Id="rId3" Type="http://schemas.openxmlformats.org/officeDocument/2006/relationships/hyperlink" Target="https://www.europarl.europa.eu/factsheets/en/sheet/68/energy-policy-general-principles" TargetMode="External"/><Relationship Id="rId7" Type="http://schemas.openxmlformats.org/officeDocument/2006/relationships/hyperlink" Target="https://www.bvkb.gov.lv/lv/naftas-produktu-jautajumu-administresana" TargetMode="External"/><Relationship Id="rId12" Type="http://schemas.openxmlformats.org/officeDocument/2006/relationships/hyperlink" Target="https://www.riigiteataja.ee/akt/982765" TargetMode="External"/><Relationship Id="rId17" Type="http://schemas.openxmlformats.org/officeDocument/2006/relationships/hyperlink" Target="https://a.orlen.pl/PL/DlaBiznesu/HurtoweCenyPaliw/Strony/archiwum-cen.aspx?Fuel=ONEkodiesel&amp;Year=2016" TargetMode="External"/><Relationship Id="rId2" Type="http://schemas.openxmlformats.org/officeDocument/2006/relationships/hyperlink" Target="https://www.eia.gov/finance/markets/crudeoil/supply-opec.php" TargetMode="External"/><Relationship Id="rId16" Type="http://schemas.openxmlformats.org/officeDocument/2006/relationships/hyperlink" Target="https://www.offshore-energy.biz/oil-demand-to-take-a-severe-hit-if-russias-war-in-ukraine-is-prolonged-rystad/" TargetMode="External"/><Relationship Id="rId20" Type="http://schemas.openxmlformats.org/officeDocument/2006/relationships/hyperlink" Target="https://likumi.lv/ta/id/328114-par-valsts-budzetu-2022-gadam" TargetMode="External"/><Relationship Id="rId1" Type="http://schemas.openxmlformats.org/officeDocument/2006/relationships/hyperlink" Target="https://www.visualcapitalist.com/the-history-of-innovation-cycles/" TargetMode="External"/><Relationship Id="rId6" Type="http://schemas.openxmlformats.org/officeDocument/2006/relationships/hyperlink" Target="https://likumi.lv/ta/id/49833-energetikas-likums" TargetMode="External"/><Relationship Id="rId11" Type="http://schemas.openxmlformats.org/officeDocument/2006/relationships/hyperlink" Target="https://woo.opec.org/" TargetMode="External"/><Relationship Id="rId5" Type="http://schemas.openxmlformats.org/officeDocument/2006/relationships/hyperlink" Target="https://woo.opec.org/" TargetMode="External"/><Relationship Id="rId15" Type="http://schemas.openxmlformats.org/officeDocument/2006/relationships/hyperlink" Target="https://woo.opec.org/" TargetMode="External"/><Relationship Id="rId10" Type="http://schemas.openxmlformats.org/officeDocument/2006/relationships/hyperlink" Target="https://likumi.lv/ta/id/229001-kartiba-kada-komersanti-nodrosina-un-sniedz-drosibas-rezervju-pakalpojumu-valsts-naftas-produktu-degvielas-drosibas-rezervju-iz..." TargetMode="External"/><Relationship Id="rId19" Type="http://schemas.openxmlformats.org/officeDocument/2006/relationships/hyperlink" Target="https://likumi.lv/ta/id/269907-publiskas-personas-kapitala-dalu-un-kapitalsabiedribu-parvaldibas-likums" TargetMode="External"/><Relationship Id="rId4" Type="http://schemas.openxmlformats.org/officeDocument/2006/relationships/hyperlink" Target="https://ec.europa.eu/eurostat/databrowser/view/NAMA_10_GDP__custom_78848/bookmark/table?lang=en&amp;bookmarkId=7681260e-2f75-4cd7-a153-02fc89543f2c" TargetMode="External"/><Relationship Id="rId9" Type="http://schemas.openxmlformats.org/officeDocument/2006/relationships/hyperlink" Target="https://likumi.lv/ta/id/229001-kartiba-kada-komersanti-nodrosina-un-sniedz-drosibas-rezervju-pakalpojumu-valsts-naftas-produktu-degvielas-drosibas-rezervju-iz..." TargetMode="External"/><Relationship Id="rId14" Type="http://schemas.openxmlformats.org/officeDocument/2006/relationships/hyperlink" Target="https://eur-lex.europa.eu/eli/dir/2009/119/oj/?locale=L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IVITTA New Stefan v5.0">
      <a:dk1>
        <a:srgbClr val="000000"/>
      </a:dk1>
      <a:lt1>
        <a:srgbClr val="FFFFFF"/>
      </a:lt1>
      <a:dk2>
        <a:srgbClr val="ABCD3A"/>
      </a:dk2>
      <a:lt2>
        <a:srgbClr val="BFBFBF"/>
      </a:lt2>
      <a:accent1>
        <a:srgbClr val="134753"/>
      </a:accent1>
      <a:accent2>
        <a:srgbClr val="00ABC0"/>
      </a:accent2>
      <a:accent3>
        <a:srgbClr val="7F7F7F"/>
      </a:accent3>
      <a:accent4>
        <a:srgbClr val="A6A6A6"/>
      </a:accent4>
      <a:accent5>
        <a:srgbClr val="BFBFBF"/>
      </a:accent5>
      <a:accent6>
        <a:srgbClr val="D9D9D9"/>
      </a:accent6>
      <a:hlink>
        <a:srgbClr val="48B9D5"/>
      </a:hlink>
      <a:folHlink>
        <a:srgbClr val="13475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bHiaAOUNRMU+UVNN9A/GlOmB1w==">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59004</Words>
  <Characters>33633</Characters>
  <Application>Microsoft Office Word</Application>
  <DocSecurity>0</DocSecurity>
  <Lines>280</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Valts</dc:creator>
  <cp:lastModifiedBy>LV-15</cp:lastModifiedBy>
  <cp:revision>8</cp:revision>
  <cp:lastPrinted>2022-03-21T19:44:00Z</cp:lastPrinted>
  <dcterms:created xsi:type="dcterms:W3CDTF">2022-03-21T14:47:00Z</dcterms:created>
  <dcterms:modified xsi:type="dcterms:W3CDTF">2022-03-21T19:44:00Z</dcterms:modified>
</cp:coreProperties>
</file>